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3C40" w:rsidRPr="008250BC" w:rsidRDefault="00233C40" w:rsidP="008250BC">
      <w:pPr>
        <w:pStyle w:val="ab"/>
        <w:ind w:firstLine="640"/>
      </w:pPr>
    </w:p>
    <w:p w:rsidR="00233C40" w:rsidRPr="008250BC" w:rsidRDefault="00233C40" w:rsidP="008250BC">
      <w:pPr>
        <w:pStyle w:val="ab"/>
        <w:ind w:firstLine="640"/>
      </w:pPr>
    </w:p>
    <w:p w:rsidR="00233C40" w:rsidRPr="008250BC" w:rsidRDefault="00061462" w:rsidP="008250BC">
      <w:pPr>
        <w:pStyle w:val="a8"/>
      </w:pPr>
      <w:r w:rsidRPr="008250BC">
        <w:rPr>
          <w:rFonts w:hint="eastAsia"/>
        </w:rPr>
        <w:t>最高人民法院</w:t>
      </w:r>
    </w:p>
    <w:p w:rsidR="00233C40" w:rsidRPr="008250BC" w:rsidRDefault="00061462" w:rsidP="008250BC">
      <w:pPr>
        <w:pStyle w:val="a8"/>
      </w:pPr>
      <w:r w:rsidRPr="008250BC">
        <w:rPr>
          <w:rFonts w:hint="eastAsia"/>
        </w:rPr>
        <w:t>关于适用《中华人民共和国民法典》</w:t>
      </w:r>
    </w:p>
    <w:p w:rsidR="00233C40" w:rsidRDefault="00061462" w:rsidP="008250BC">
      <w:pPr>
        <w:pStyle w:val="a8"/>
      </w:pPr>
      <w:r w:rsidRPr="008250BC">
        <w:rPr>
          <w:rFonts w:hint="eastAsia"/>
        </w:rPr>
        <w:t>总则编若干问题的解释</w:t>
      </w:r>
    </w:p>
    <w:p w:rsidR="008250BC" w:rsidRPr="008250BC" w:rsidRDefault="008250BC" w:rsidP="008250BC">
      <w:pPr>
        <w:pStyle w:val="ab"/>
        <w:ind w:firstLine="640"/>
      </w:pPr>
    </w:p>
    <w:p w:rsidR="008250BC" w:rsidRPr="008250BC" w:rsidRDefault="008250BC" w:rsidP="008250BC">
      <w:pPr>
        <w:pStyle w:val="a9"/>
      </w:pPr>
      <w:r w:rsidRPr="008250BC">
        <w:rPr>
          <w:rFonts w:hint="eastAsia"/>
        </w:rPr>
        <w:t>法释〔2022〕6号</w:t>
      </w:r>
    </w:p>
    <w:p w:rsidR="008250BC" w:rsidRPr="008250BC" w:rsidRDefault="008250BC" w:rsidP="008250BC">
      <w:pPr>
        <w:pStyle w:val="ab"/>
        <w:ind w:firstLine="640"/>
      </w:pPr>
    </w:p>
    <w:p w:rsidR="00233C40" w:rsidRPr="008250BC" w:rsidRDefault="00061462" w:rsidP="008250BC">
      <w:pPr>
        <w:pStyle w:val="aa"/>
        <w:ind w:left="630" w:right="630"/>
      </w:pPr>
      <w:r w:rsidRPr="008250BC">
        <w:rPr>
          <w:rFonts w:hint="eastAsia"/>
        </w:rPr>
        <w:t>（2021年12月30日最高人民法院审判委员会第1861次会议通过，自2022年3月1日起施行）</w:t>
      </w:r>
    </w:p>
    <w:p w:rsidR="00233C40" w:rsidRDefault="00233C40" w:rsidP="008250BC">
      <w:pPr>
        <w:pStyle w:val="ab"/>
        <w:ind w:firstLine="640"/>
      </w:pPr>
    </w:p>
    <w:p w:rsidR="00233C40" w:rsidRDefault="00061462" w:rsidP="008250BC">
      <w:pPr>
        <w:pStyle w:val="ab"/>
        <w:ind w:firstLine="640"/>
      </w:pPr>
      <w:r>
        <w:rPr>
          <w:rFonts w:hint="eastAsia"/>
        </w:rPr>
        <w:t>为正确审理民事案件，依法保护民事主体的合法权益，维护社会和经济秩序，根据《中华人民共和国民法典》《中华人民共和国民事诉讼法》等相关法律规定，结合审判实践，制定本解释。</w:t>
      </w:r>
    </w:p>
    <w:p w:rsidR="00233C40" w:rsidRPr="00D05430" w:rsidRDefault="00061462" w:rsidP="008250BC">
      <w:pPr>
        <w:pStyle w:val="ab"/>
        <w:ind w:firstLine="640"/>
        <w:rPr>
          <w:rStyle w:val="ac"/>
        </w:rPr>
      </w:pPr>
      <w:r w:rsidRPr="00D05430">
        <w:rPr>
          <w:rStyle w:val="ac"/>
          <w:rFonts w:hint="eastAsia"/>
        </w:rPr>
        <w:t>一、一般规定</w:t>
      </w:r>
    </w:p>
    <w:p w:rsidR="00233C40" w:rsidRDefault="00061462" w:rsidP="008250BC">
      <w:pPr>
        <w:pStyle w:val="ab"/>
        <w:ind w:firstLine="640"/>
      </w:pPr>
      <w:r w:rsidRPr="00D05430">
        <w:rPr>
          <w:rStyle w:val="ac"/>
          <w:rFonts w:hint="eastAsia"/>
        </w:rPr>
        <w:t>第一条</w:t>
      </w:r>
      <w:r w:rsidR="00D05430" w:rsidRPr="00D05430">
        <w:rPr>
          <w:rStyle w:val="ac"/>
          <w:rFonts w:hint="eastAsia"/>
        </w:rPr>
        <w:t xml:space="preserve">　</w:t>
      </w:r>
      <w:r>
        <w:rPr>
          <w:rFonts w:hint="eastAsia"/>
        </w:rPr>
        <w:t>民法典第二编至第七编对民事关系有规定的，人民法院直接适用该规定；民法典第二编至第七编没有规定的，适用民法典第一编的规定，但是根据其性质不能适用的除外。</w:t>
      </w:r>
    </w:p>
    <w:p w:rsidR="00233C40" w:rsidRDefault="00061462" w:rsidP="008250BC">
      <w:pPr>
        <w:pStyle w:val="ab"/>
        <w:ind w:firstLine="640"/>
      </w:pPr>
      <w:r>
        <w:rPr>
          <w:rFonts w:hint="eastAsia"/>
        </w:rPr>
        <w:t>就同一民事关系，其他民事法律的规定属于对民法典相应规定的细化的，应当适用该民事法律的规定。民法典规定适用其他法律的，适用该法律的规定。</w:t>
      </w:r>
    </w:p>
    <w:p w:rsidR="00233C40" w:rsidRDefault="00061462" w:rsidP="008250BC">
      <w:pPr>
        <w:pStyle w:val="ab"/>
        <w:ind w:firstLine="640"/>
      </w:pPr>
      <w:r>
        <w:rPr>
          <w:rFonts w:hint="eastAsia"/>
        </w:rPr>
        <w:t>民法典及其他法律对民事关系没有具体规定的，可以遵循民</w:t>
      </w:r>
      <w:r>
        <w:rPr>
          <w:rFonts w:hint="eastAsia"/>
        </w:rPr>
        <w:lastRenderedPageBreak/>
        <w:t>法典关于基本原则的规定。</w:t>
      </w:r>
    </w:p>
    <w:p w:rsidR="00233C40" w:rsidRDefault="00061462" w:rsidP="008250BC">
      <w:pPr>
        <w:pStyle w:val="ab"/>
        <w:ind w:firstLine="640"/>
      </w:pPr>
      <w:r w:rsidRPr="00D05430">
        <w:rPr>
          <w:rStyle w:val="ac"/>
          <w:rFonts w:hint="eastAsia"/>
        </w:rPr>
        <w:t>第二条</w:t>
      </w:r>
      <w:r w:rsidR="00D05430" w:rsidRPr="00D05430">
        <w:rPr>
          <w:rStyle w:val="ac"/>
          <w:rFonts w:hint="eastAsia"/>
        </w:rPr>
        <w:t xml:space="preserve">　</w:t>
      </w:r>
      <w:r>
        <w:rPr>
          <w:rFonts w:hint="eastAsia"/>
        </w:rPr>
        <w:t>在一定地域、行业范围内长期为一般人从事民事活动时普遍遵守的民间习俗、惯常做法等，可以认定为民法典第十条规定的习惯。</w:t>
      </w:r>
    </w:p>
    <w:p w:rsidR="00233C40" w:rsidRDefault="00061462" w:rsidP="008250BC">
      <w:pPr>
        <w:pStyle w:val="ab"/>
        <w:ind w:firstLine="640"/>
      </w:pPr>
      <w:r>
        <w:rPr>
          <w:rFonts w:hint="eastAsia"/>
        </w:rPr>
        <w:t>当事人主张适用习惯的，应当就习惯及其具体内容提供相应证据；必要时，人民法院可以依职权查明。</w:t>
      </w:r>
    </w:p>
    <w:p w:rsidR="00233C40" w:rsidRPr="00D05430" w:rsidRDefault="00061462" w:rsidP="00D05430">
      <w:pPr>
        <w:pStyle w:val="ab"/>
        <w:ind w:firstLine="656"/>
        <w:rPr>
          <w:spacing w:val="4"/>
        </w:rPr>
      </w:pPr>
      <w:r w:rsidRPr="00D05430">
        <w:rPr>
          <w:rFonts w:hint="eastAsia"/>
          <w:spacing w:val="4"/>
        </w:rPr>
        <w:t>适用习惯，不得违背社会主义核心价值观，不得违背公序良俗。</w:t>
      </w:r>
    </w:p>
    <w:p w:rsidR="00233C40" w:rsidRDefault="00061462" w:rsidP="008250BC">
      <w:pPr>
        <w:pStyle w:val="ab"/>
        <w:ind w:firstLine="640"/>
      </w:pPr>
      <w:r w:rsidRPr="00D05430">
        <w:rPr>
          <w:rStyle w:val="ac"/>
          <w:rFonts w:hint="eastAsia"/>
        </w:rPr>
        <w:t>第三条</w:t>
      </w:r>
      <w:r w:rsidR="00D05430" w:rsidRPr="00D05430">
        <w:rPr>
          <w:rStyle w:val="ac"/>
          <w:rFonts w:hint="eastAsia"/>
        </w:rPr>
        <w:t xml:space="preserve">　</w:t>
      </w:r>
      <w:r>
        <w:rPr>
          <w:rFonts w:hint="eastAsia"/>
        </w:rPr>
        <w:t>对于民法典第一百三十二条所称的滥用民事权利，人民法院可以根据权利行使的对象、目的、时间、方式、造成当事人之间利益失衡的程度等因素作出认定。</w:t>
      </w:r>
    </w:p>
    <w:p w:rsidR="00233C40" w:rsidRDefault="00061462" w:rsidP="008250BC">
      <w:pPr>
        <w:pStyle w:val="ab"/>
        <w:ind w:firstLine="640"/>
      </w:pPr>
      <w:r>
        <w:rPr>
          <w:rFonts w:hint="eastAsia"/>
        </w:rPr>
        <w:t>行为人以损害国家利益、社会公共利益、他人合法权益为主要目的行使民事权利的，人民法院应当认定构成滥用民事权利。</w:t>
      </w:r>
    </w:p>
    <w:p w:rsidR="00233C40" w:rsidRDefault="00061462" w:rsidP="008250BC">
      <w:pPr>
        <w:pStyle w:val="ab"/>
        <w:ind w:firstLine="640"/>
      </w:pPr>
      <w:r>
        <w:rPr>
          <w:rFonts w:hint="eastAsia"/>
        </w:rPr>
        <w:t>构成滥用民事权利的，人民法院应当认定该滥用行为不发生相应的法律效力。滥用民事权利造成损害的，依照民法典第七编等有关规定处理。</w:t>
      </w:r>
    </w:p>
    <w:p w:rsidR="00233C40" w:rsidRPr="00452345" w:rsidRDefault="00061462" w:rsidP="008250BC">
      <w:pPr>
        <w:pStyle w:val="ab"/>
        <w:ind w:firstLine="640"/>
        <w:rPr>
          <w:rStyle w:val="ac"/>
        </w:rPr>
      </w:pPr>
      <w:r w:rsidRPr="00452345">
        <w:rPr>
          <w:rStyle w:val="ac"/>
          <w:rFonts w:hint="eastAsia"/>
        </w:rPr>
        <w:t>二、民事权利能力和民事行为能力</w:t>
      </w:r>
    </w:p>
    <w:p w:rsidR="00233C40" w:rsidRDefault="00061462" w:rsidP="008250BC">
      <w:pPr>
        <w:pStyle w:val="ab"/>
        <w:ind w:firstLine="640"/>
      </w:pPr>
      <w:r w:rsidRPr="00452345">
        <w:rPr>
          <w:rStyle w:val="ac"/>
          <w:rFonts w:hint="eastAsia"/>
        </w:rPr>
        <w:t>第四条</w:t>
      </w:r>
      <w:r w:rsidR="00452345" w:rsidRPr="00452345">
        <w:rPr>
          <w:rStyle w:val="ac"/>
          <w:rFonts w:hint="eastAsia"/>
        </w:rPr>
        <w:t xml:space="preserve">　</w:t>
      </w:r>
      <w:r>
        <w:rPr>
          <w:rFonts w:hint="eastAsia"/>
        </w:rPr>
        <w:t>涉及遗产继承、接受赠与等胎儿利益保护，父母在胎儿娩出前作为法定代理人主张相应权利的，人民法院依法予以支持。</w:t>
      </w:r>
    </w:p>
    <w:p w:rsidR="00233C40" w:rsidRPr="00452345" w:rsidRDefault="00061462" w:rsidP="008250BC">
      <w:pPr>
        <w:pStyle w:val="ab"/>
        <w:ind w:firstLine="640"/>
        <w:rPr>
          <w:spacing w:val="4"/>
        </w:rPr>
      </w:pPr>
      <w:r w:rsidRPr="00452345">
        <w:rPr>
          <w:rStyle w:val="ac"/>
          <w:rFonts w:hint="eastAsia"/>
        </w:rPr>
        <w:t>第五条</w:t>
      </w:r>
      <w:r w:rsidR="00452345" w:rsidRPr="00452345">
        <w:rPr>
          <w:rStyle w:val="ac"/>
          <w:rFonts w:hint="eastAsia"/>
        </w:rPr>
        <w:t xml:space="preserve">　</w:t>
      </w:r>
      <w:r>
        <w:rPr>
          <w:rFonts w:hint="eastAsia"/>
        </w:rPr>
        <w:t>限制民事行为能力人实施的民事法律行为是否与其年龄、智力、精神健康状况相适应，人民法院可以从行为与本</w:t>
      </w:r>
      <w:r>
        <w:rPr>
          <w:rFonts w:hint="eastAsia"/>
        </w:rPr>
        <w:lastRenderedPageBreak/>
        <w:t>人生活相关联的程度，本人的智力、精神健康状况能否理解其行为并预见相应的后果，</w:t>
      </w:r>
      <w:r w:rsidRPr="00452345">
        <w:rPr>
          <w:rFonts w:hint="eastAsia"/>
          <w:spacing w:val="4"/>
        </w:rPr>
        <w:t>以及标的、数量、价款或者报酬等方面认定。</w:t>
      </w:r>
    </w:p>
    <w:p w:rsidR="00233C40" w:rsidRPr="00452345" w:rsidRDefault="00061462" w:rsidP="008250BC">
      <w:pPr>
        <w:pStyle w:val="ab"/>
        <w:ind w:firstLine="640"/>
        <w:rPr>
          <w:rStyle w:val="ac"/>
        </w:rPr>
      </w:pPr>
      <w:r w:rsidRPr="00452345">
        <w:rPr>
          <w:rStyle w:val="ac"/>
          <w:rFonts w:hint="eastAsia"/>
        </w:rPr>
        <w:t>三、监护</w:t>
      </w:r>
    </w:p>
    <w:p w:rsidR="00233C40" w:rsidRDefault="00061462" w:rsidP="008250BC">
      <w:pPr>
        <w:pStyle w:val="ab"/>
        <w:ind w:firstLine="640"/>
      </w:pPr>
      <w:r w:rsidRPr="00452345">
        <w:rPr>
          <w:rStyle w:val="ac"/>
          <w:rFonts w:hint="eastAsia"/>
        </w:rPr>
        <w:t>第六条</w:t>
      </w:r>
      <w:r w:rsidR="00452345" w:rsidRPr="00452345">
        <w:rPr>
          <w:rStyle w:val="ac"/>
          <w:rFonts w:hint="eastAsia"/>
        </w:rPr>
        <w:t xml:space="preserve">　</w:t>
      </w:r>
      <w:r>
        <w:rPr>
          <w:rFonts w:hint="eastAsia"/>
        </w:rPr>
        <w:t>人民法院认定自然人的监护能力，应当根据其年龄、身心健康状况、经济条件等因素确定；认定有关组织的监护能力，应当根据其资质、信用、财产状况等因素确定。</w:t>
      </w:r>
    </w:p>
    <w:p w:rsidR="00233C40" w:rsidRDefault="00061462" w:rsidP="008250BC">
      <w:pPr>
        <w:pStyle w:val="ab"/>
        <w:ind w:firstLine="640"/>
      </w:pPr>
      <w:r w:rsidRPr="00452345">
        <w:rPr>
          <w:rStyle w:val="ac"/>
          <w:rFonts w:hint="eastAsia"/>
        </w:rPr>
        <w:t>第七条</w:t>
      </w:r>
      <w:r w:rsidR="00452345" w:rsidRPr="00452345">
        <w:rPr>
          <w:rStyle w:val="ac"/>
          <w:rFonts w:hint="eastAsia"/>
        </w:rPr>
        <w:t xml:space="preserve">　</w:t>
      </w:r>
      <w:r>
        <w:rPr>
          <w:rFonts w:hint="eastAsia"/>
        </w:rPr>
        <w:t>担任监护人的被监护人父母通过遗嘱指定监护人，遗嘱生效时被指定的人不同意担任监护人的，人民法院应当适用民法典第二十七条、第二十八条的规定确定监护人。</w:t>
      </w:r>
    </w:p>
    <w:p w:rsidR="00233C40" w:rsidRDefault="00061462" w:rsidP="008250BC">
      <w:pPr>
        <w:pStyle w:val="ab"/>
        <w:ind w:firstLine="640"/>
      </w:pPr>
      <w:r>
        <w:rPr>
          <w:rFonts w:hint="eastAsia"/>
        </w:rPr>
        <w:t>未成年人由父母担任监护人，父母中的一方通过遗嘱指定监护人，另一方在遗嘱生效时有监护能力，有关当事人对监护人的确定有争议的，人民法院应当适用民法典第二十七条第一款的规定确定监护人。</w:t>
      </w:r>
    </w:p>
    <w:p w:rsidR="00233C40" w:rsidRDefault="00061462" w:rsidP="008250BC">
      <w:pPr>
        <w:pStyle w:val="ab"/>
        <w:ind w:firstLine="640"/>
      </w:pPr>
      <w:r w:rsidRPr="00244712">
        <w:rPr>
          <w:rStyle w:val="ac"/>
          <w:rFonts w:hint="eastAsia"/>
        </w:rPr>
        <w:t>第八条</w:t>
      </w:r>
      <w:r w:rsidR="00244712" w:rsidRPr="00244712">
        <w:rPr>
          <w:rStyle w:val="ac"/>
          <w:rFonts w:hint="eastAsia"/>
        </w:rPr>
        <w:t xml:space="preserve">　</w:t>
      </w:r>
      <w:r>
        <w:rPr>
          <w:rFonts w:hint="eastAsia"/>
        </w:rPr>
        <w:t>未成年人的父母与其他依法具有监护资格的人订立协议，约定免除具有监护能力的父母的监护职责的，人民法院不予支持。协议约定在未成年人的父母丧失监护能力时由该具有监护资格的人担任监护人的，人民法院依法予以支持。</w:t>
      </w:r>
    </w:p>
    <w:p w:rsidR="00233C40" w:rsidRDefault="00061462" w:rsidP="008250BC">
      <w:pPr>
        <w:pStyle w:val="ab"/>
        <w:ind w:firstLine="640"/>
      </w:pPr>
      <w:r>
        <w:rPr>
          <w:rFonts w:hint="eastAsia"/>
        </w:rPr>
        <w:t>依法具有监护资格的人之间依据民法典第三十条的规定，约定由民法典第二十七条第二款、第二十八条规定的不同顺序的人共同担任监护人，或者由顺序在后的人担任监护人的，人民法院依法予以支持。</w:t>
      </w:r>
    </w:p>
    <w:p w:rsidR="00233C40" w:rsidRDefault="00061462" w:rsidP="008250BC">
      <w:pPr>
        <w:pStyle w:val="ab"/>
        <w:ind w:firstLine="640"/>
      </w:pPr>
      <w:r w:rsidRPr="00244712">
        <w:rPr>
          <w:rStyle w:val="ac"/>
          <w:rFonts w:hint="eastAsia"/>
        </w:rPr>
        <w:lastRenderedPageBreak/>
        <w:t>第九条</w:t>
      </w:r>
      <w:r w:rsidR="00244712" w:rsidRPr="00244712">
        <w:rPr>
          <w:rStyle w:val="ac"/>
          <w:rFonts w:hint="eastAsia"/>
        </w:rPr>
        <w:t xml:space="preserve">　</w:t>
      </w:r>
      <w:r>
        <w:rPr>
          <w:rFonts w:hint="eastAsia"/>
        </w:rPr>
        <w:t>人民法院依据民法典第三十一条第二款、第三十六条第一款的规定指定监护人时，应当尊重被监护人的真实意愿，按照最有利于被监护人的原则指定，具体参考以下因素：</w:t>
      </w:r>
    </w:p>
    <w:p w:rsidR="00233C40" w:rsidRDefault="00061462" w:rsidP="008250BC">
      <w:pPr>
        <w:pStyle w:val="ab"/>
        <w:ind w:firstLine="640"/>
      </w:pPr>
      <w:r>
        <w:rPr>
          <w:rFonts w:hint="eastAsia"/>
        </w:rPr>
        <w:t>（一）与被监护人生活、情感联系的密切程度；</w:t>
      </w:r>
    </w:p>
    <w:p w:rsidR="00233C40" w:rsidRDefault="00061462" w:rsidP="008250BC">
      <w:pPr>
        <w:pStyle w:val="ab"/>
        <w:ind w:firstLine="640"/>
      </w:pPr>
      <w:r>
        <w:rPr>
          <w:rFonts w:hint="eastAsia"/>
        </w:rPr>
        <w:t>（二）依法具有监护资格的人的监护顺序；</w:t>
      </w:r>
    </w:p>
    <w:p w:rsidR="00233C40" w:rsidRDefault="00061462" w:rsidP="008250BC">
      <w:pPr>
        <w:pStyle w:val="ab"/>
        <w:ind w:firstLine="640"/>
      </w:pPr>
      <w:r>
        <w:rPr>
          <w:rFonts w:hint="eastAsia"/>
        </w:rPr>
        <w:t>（三）是否有不利于履行监护职责的违法犯罪等情形；</w:t>
      </w:r>
    </w:p>
    <w:p w:rsidR="00233C40" w:rsidRDefault="00061462" w:rsidP="008250BC">
      <w:pPr>
        <w:pStyle w:val="ab"/>
        <w:ind w:firstLine="640"/>
      </w:pPr>
      <w:r>
        <w:rPr>
          <w:rFonts w:hint="eastAsia"/>
        </w:rPr>
        <w:t>（四）依法具有监护资格的人的监护能力、意愿、品行等。</w:t>
      </w:r>
    </w:p>
    <w:p w:rsidR="00233C40" w:rsidRDefault="00061462" w:rsidP="008250BC">
      <w:pPr>
        <w:pStyle w:val="ab"/>
        <w:ind w:firstLine="640"/>
      </w:pPr>
      <w:r>
        <w:rPr>
          <w:rFonts w:hint="eastAsia"/>
        </w:rPr>
        <w:t>人民法院依法指定的监护人一般应当是一人，由数人共同担任监护人更有利于保护被监护人利益的，也可以是数人。</w:t>
      </w:r>
    </w:p>
    <w:p w:rsidR="00233C40" w:rsidRDefault="00061462" w:rsidP="008250BC">
      <w:pPr>
        <w:pStyle w:val="ab"/>
        <w:ind w:firstLine="640"/>
      </w:pPr>
      <w:r w:rsidRPr="00244712">
        <w:rPr>
          <w:rStyle w:val="ac"/>
          <w:rFonts w:hint="eastAsia"/>
        </w:rPr>
        <w:t>第十条</w:t>
      </w:r>
      <w:r w:rsidR="00244712" w:rsidRPr="00244712">
        <w:rPr>
          <w:rStyle w:val="ac"/>
          <w:rFonts w:hint="eastAsia"/>
        </w:rPr>
        <w:t xml:space="preserve">　</w:t>
      </w:r>
      <w:r>
        <w:rPr>
          <w:rFonts w:hint="eastAsia"/>
        </w:rPr>
        <w:t>有关当事人不服居民委员会、村民委员会或者民政部门的指定，在接到指定通知之日起三十日内向人民法院申请指定监护人的，人民法院经审理认为指定并无不当，依法裁定驳回申请；认为指定不当，依法判决撤销指定并另行指定监护人。</w:t>
      </w:r>
    </w:p>
    <w:p w:rsidR="00233C40" w:rsidRDefault="00061462" w:rsidP="008250BC">
      <w:pPr>
        <w:pStyle w:val="ab"/>
        <w:ind w:firstLine="640"/>
      </w:pPr>
      <w:r>
        <w:rPr>
          <w:rFonts w:hint="eastAsia"/>
        </w:rPr>
        <w:t>有关当事人在接到指定通知之日起三十日后提出申请的，人民法院应当按照变更监护关系处理。</w:t>
      </w:r>
    </w:p>
    <w:p w:rsidR="00233C40" w:rsidRDefault="00061462" w:rsidP="008250BC">
      <w:pPr>
        <w:pStyle w:val="ab"/>
        <w:ind w:firstLine="640"/>
      </w:pPr>
      <w:r w:rsidRPr="00244712">
        <w:rPr>
          <w:rStyle w:val="ac"/>
          <w:rFonts w:hint="eastAsia"/>
        </w:rPr>
        <w:t>第十一条</w:t>
      </w:r>
      <w:r w:rsidR="00244712" w:rsidRPr="00244712">
        <w:rPr>
          <w:rStyle w:val="ac"/>
          <w:rFonts w:hint="eastAsia"/>
        </w:rPr>
        <w:t xml:space="preserve">　</w:t>
      </w:r>
      <w:r>
        <w:rPr>
          <w:rFonts w:hint="eastAsia"/>
        </w:rPr>
        <w:t>具有完全民事行为能力的成年人与他人依据民法典第三十三条的规定订立书面协议事先确定自己的监护人后，协议的任何一方在该成年人丧失或者部分丧失民事行为能力前请求解除协议的，人民法院依法予以支持。该成年人丧失或者部分丧失民事行为能力后，协议确定的监护人无正当理由请求解除协议的，人民法院不予支持。</w:t>
      </w:r>
    </w:p>
    <w:p w:rsidR="00233C40" w:rsidRDefault="00061462" w:rsidP="008250BC">
      <w:pPr>
        <w:pStyle w:val="ab"/>
        <w:ind w:firstLine="640"/>
      </w:pPr>
      <w:r>
        <w:rPr>
          <w:rFonts w:hint="eastAsia"/>
        </w:rPr>
        <w:t>该成年人丧失或者部分丧失民事行为能力后，协议确定的监</w:t>
      </w:r>
      <w:r>
        <w:rPr>
          <w:rFonts w:hint="eastAsia"/>
        </w:rPr>
        <w:lastRenderedPageBreak/>
        <w:t>护人有民法典第三十六条第一款规定的情形之一，该条第二款规定的有关个人、组织申请撤销其监护人资格的，人民法院依法予以支持。</w:t>
      </w:r>
    </w:p>
    <w:p w:rsidR="00233C40" w:rsidRDefault="00061462" w:rsidP="008250BC">
      <w:pPr>
        <w:pStyle w:val="ab"/>
        <w:ind w:firstLine="640"/>
      </w:pPr>
      <w:r w:rsidRPr="00244712">
        <w:rPr>
          <w:rStyle w:val="ac"/>
          <w:rFonts w:hint="eastAsia"/>
        </w:rPr>
        <w:t>第十二条</w:t>
      </w:r>
      <w:r w:rsidR="00244712" w:rsidRPr="00244712">
        <w:rPr>
          <w:rStyle w:val="ac"/>
          <w:rFonts w:hint="eastAsia"/>
        </w:rPr>
        <w:t xml:space="preserve">　</w:t>
      </w:r>
      <w:r>
        <w:rPr>
          <w:rFonts w:hint="eastAsia"/>
        </w:rPr>
        <w:t>监护人、其他依法具有监护资格的人之间就监护人是否有民法典第三十九条第一款第二项、第四项规定的应当终止监护关系的情形发生争议，申请变更监护人的，人民法院应当依法受理。经审理认为理由成立的，人民法院依法予以支持。</w:t>
      </w:r>
    </w:p>
    <w:p w:rsidR="00233C40" w:rsidRDefault="00061462" w:rsidP="008250BC">
      <w:pPr>
        <w:pStyle w:val="ab"/>
        <w:ind w:firstLine="640"/>
      </w:pPr>
      <w:r>
        <w:rPr>
          <w:rFonts w:hint="eastAsia"/>
        </w:rPr>
        <w:t>被依法指定的监护人与其他具有监护资格的人之间协议变更监护人的，人民法院应当尊重被监护人的真实意愿，按照最有利于被监护人的原则作出裁判。</w:t>
      </w:r>
    </w:p>
    <w:p w:rsidR="00233C40" w:rsidRDefault="00061462" w:rsidP="008250BC">
      <w:pPr>
        <w:pStyle w:val="ab"/>
        <w:ind w:firstLine="640"/>
      </w:pPr>
      <w:r w:rsidRPr="00244712">
        <w:rPr>
          <w:rStyle w:val="ac"/>
          <w:rFonts w:hint="eastAsia"/>
        </w:rPr>
        <w:t>第十三条</w:t>
      </w:r>
      <w:r w:rsidR="00244712" w:rsidRPr="00244712">
        <w:rPr>
          <w:rStyle w:val="ac"/>
          <w:rFonts w:hint="eastAsia"/>
        </w:rPr>
        <w:t xml:space="preserve">　</w:t>
      </w:r>
      <w:r>
        <w:rPr>
          <w:rFonts w:hint="eastAsia"/>
        </w:rPr>
        <w:t>监护人因患病、外出务工等原因在一定期限内不能完全履行监护职责，将全部或者部分监护职责委托给他人，当事人主张受托人因此成为监护人的，人民法院不予支持。</w:t>
      </w:r>
    </w:p>
    <w:p w:rsidR="00233C40" w:rsidRPr="00244712" w:rsidRDefault="00061462" w:rsidP="008250BC">
      <w:pPr>
        <w:pStyle w:val="ab"/>
        <w:ind w:firstLine="640"/>
        <w:rPr>
          <w:rStyle w:val="ac"/>
        </w:rPr>
      </w:pPr>
      <w:r w:rsidRPr="00244712">
        <w:rPr>
          <w:rStyle w:val="ac"/>
          <w:rFonts w:hint="eastAsia"/>
        </w:rPr>
        <w:t>四、宣告失踪和宣告死亡</w:t>
      </w:r>
    </w:p>
    <w:p w:rsidR="00233C40" w:rsidRDefault="00061462" w:rsidP="008250BC">
      <w:pPr>
        <w:pStyle w:val="ab"/>
        <w:ind w:firstLine="640"/>
      </w:pPr>
      <w:r w:rsidRPr="00244712">
        <w:rPr>
          <w:rStyle w:val="ac"/>
          <w:rFonts w:hint="eastAsia"/>
        </w:rPr>
        <w:t>第十四条</w:t>
      </w:r>
      <w:r w:rsidR="00244712" w:rsidRPr="00244712">
        <w:rPr>
          <w:rStyle w:val="ac"/>
          <w:rFonts w:hint="eastAsia"/>
        </w:rPr>
        <w:t xml:space="preserve">　</w:t>
      </w:r>
      <w:r>
        <w:rPr>
          <w:rFonts w:hint="eastAsia"/>
        </w:rPr>
        <w:t>人民法院审理宣告失踪案件时，下列人员应当认定为民法典第四十条规定的利害关系人：</w:t>
      </w:r>
    </w:p>
    <w:p w:rsidR="00233C40" w:rsidRDefault="00061462" w:rsidP="008250BC">
      <w:pPr>
        <w:pStyle w:val="ab"/>
        <w:ind w:firstLine="640"/>
      </w:pPr>
      <w:r>
        <w:rPr>
          <w:rFonts w:hint="eastAsia"/>
        </w:rPr>
        <w:t>（一）被申请人的近亲属；</w:t>
      </w:r>
    </w:p>
    <w:p w:rsidR="00233C40" w:rsidRDefault="00061462" w:rsidP="008250BC">
      <w:pPr>
        <w:pStyle w:val="ab"/>
        <w:ind w:firstLine="640"/>
      </w:pPr>
      <w:r>
        <w:rPr>
          <w:rFonts w:hint="eastAsia"/>
        </w:rPr>
        <w:t>（二）依据民法典第一千一百二十八条、第一千一百二十九条规定对被申请人有继承权的亲属；</w:t>
      </w:r>
    </w:p>
    <w:p w:rsidR="00233C40" w:rsidRDefault="00061462" w:rsidP="008250BC">
      <w:pPr>
        <w:pStyle w:val="ab"/>
        <w:ind w:firstLine="640"/>
      </w:pPr>
      <w:r>
        <w:rPr>
          <w:rFonts w:hint="eastAsia"/>
        </w:rPr>
        <w:t>（三）债权人、债务人、合伙人等与被申请人有民事权利义务关系的民事主体，但是不申请宣告失踪不影响其权利行使、义务履行的除外。</w:t>
      </w:r>
    </w:p>
    <w:p w:rsidR="00233C40" w:rsidRDefault="00061462" w:rsidP="008250BC">
      <w:pPr>
        <w:pStyle w:val="ab"/>
        <w:ind w:firstLine="640"/>
      </w:pPr>
      <w:r w:rsidRPr="00244712">
        <w:rPr>
          <w:rStyle w:val="ac"/>
          <w:rFonts w:hint="eastAsia"/>
        </w:rPr>
        <w:lastRenderedPageBreak/>
        <w:t>第十五条</w:t>
      </w:r>
      <w:r w:rsidR="00244712" w:rsidRPr="00244712">
        <w:rPr>
          <w:rStyle w:val="ac"/>
          <w:rFonts w:hint="eastAsia"/>
        </w:rPr>
        <w:t xml:space="preserve">　</w:t>
      </w:r>
      <w:r>
        <w:rPr>
          <w:rFonts w:hint="eastAsia"/>
        </w:rPr>
        <w:t>失踪人的财产代管人向失踪人的债务人请求偿还债务的，人民法院应当将财产代管人列为原告。</w:t>
      </w:r>
    </w:p>
    <w:p w:rsidR="00233C40" w:rsidRDefault="00061462" w:rsidP="008250BC">
      <w:pPr>
        <w:pStyle w:val="ab"/>
        <w:ind w:firstLine="640"/>
      </w:pPr>
      <w:r>
        <w:rPr>
          <w:rFonts w:hint="eastAsia"/>
        </w:rPr>
        <w:t>债权人提起诉讼，请求失踪人的财产代管人支付失踪人所欠的债务和其他费用的，人民法院应当将财产代管人列为被告。经审理认为债权人的诉讼请求成立的，人民法院应当判决财产代管人从失踪人的财产中支付失踪人所欠的债务和其他费用。</w:t>
      </w:r>
    </w:p>
    <w:p w:rsidR="00233C40" w:rsidRDefault="00061462" w:rsidP="008250BC">
      <w:pPr>
        <w:pStyle w:val="ab"/>
        <w:ind w:firstLine="640"/>
      </w:pPr>
      <w:r w:rsidRPr="00244712">
        <w:rPr>
          <w:rStyle w:val="ac"/>
          <w:rFonts w:hint="eastAsia"/>
        </w:rPr>
        <w:t>第十六条</w:t>
      </w:r>
      <w:r w:rsidR="00244712" w:rsidRPr="00244712">
        <w:rPr>
          <w:rStyle w:val="ac"/>
          <w:rFonts w:hint="eastAsia"/>
        </w:rPr>
        <w:t xml:space="preserve">　</w:t>
      </w:r>
      <w:r>
        <w:rPr>
          <w:rFonts w:hint="eastAsia"/>
        </w:rPr>
        <w:t>人民法院审理宣告死亡案件时，被申请人的配偶、父母、子女，以及依据民法典第一千一百二十九条规定对被申请人有继承权的亲属应当认定为民法典第四十六条规定的利害关系人。</w:t>
      </w:r>
    </w:p>
    <w:p w:rsidR="00233C40" w:rsidRDefault="00061462" w:rsidP="008250BC">
      <w:pPr>
        <w:pStyle w:val="ab"/>
        <w:ind w:firstLine="640"/>
      </w:pPr>
      <w:r>
        <w:rPr>
          <w:rFonts w:hint="eastAsia"/>
        </w:rPr>
        <w:t>符合下列情形之一的，被申请人的其他近亲属，以及依据民法典第一千一百二十八条规定对被申请人有继承权的亲属应当认定为民法典第四十六条规定的利害关系人：</w:t>
      </w:r>
    </w:p>
    <w:p w:rsidR="00233C40" w:rsidRPr="00244712" w:rsidRDefault="00061462" w:rsidP="008250BC">
      <w:pPr>
        <w:pStyle w:val="ab"/>
        <w:ind w:firstLine="640"/>
        <w:rPr>
          <w:spacing w:val="4"/>
        </w:rPr>
      </w:pPr>
      <w:r>
        <w:rPr>
          <w:rFonts w:hint="eastAsia"/>
        </w:rPr>
        <w:t>（一）</w:t>
      </w:r>
      <w:r w:rsidRPr="00244712">
        <w:rPr>
          <w:rFonts w:hint="eastAsia"/>
          <w:spacing w:val="4"/>
        </w:rPr>
        <w:t>被申请人的配偶、父母、子女均已死亡或者下落不明的；</w:t>
      </w:r>
    </w:p>
    <w:p w:rsidR="00233C40" w:rsidRDefault="00061462" w:rsidP="008250BC">
      <w:pPr>
        <w:pStyle w:val="ab"/>
        <w:ind w:firstLine="640"/>
      </w:pPr>
      <w:r>
        <w:rPr>
          <w:rFonts w:hint="eastAsia"/>
        </w:rPr>
        <w:t>（二）不申请宣告死亡不能保护其相应合法权益的。</w:t>
      </w:r>
    </w:p>
    <w:p w:rsidR="00233C40" w:rsidRDefault="00061462" w:rsidP="008250BC">
      <w:pPr>
        <w:pStyle w:val="ab"/>
        <w:ind w:firstLine="640"/>
      </w:pPr>
      <w:r>
        <w:rPr>
          <w:rFonts w:hint="eastAsia"/>
        </w:rPr>
        <w:t>被申请人的债权人、债务人、合伙人等民事主体不能认定为民法典第四十六条规定的利害关系人，但是不申请宣告死亡不能保护其相应合法权益的除外。</w:t>
      </w:r>
    </w:p>
    <w:p w:rsidR="00233C40" w:rsidRDefault="00061462" w:rsidP="008250BC">
      <w:pPr>
        <w:pStyle w:val="ab"/>
        <w:ind w:firstLine="640"/>
      </w:pPr>
      <w:r w:rsidRPr="00244712">
        <w:rPr>
          <w:rStyle w:val="ac"/>
          <w:rFonts w:hint="eastAsia"/>
        </w:rPr>
        <w:t>第十七条</w:t>
      </w:r>
      <w:r w:rsidR="00244712" w:rsidRPr="00244712">
        <w:rPr>
          <w:rStyle w:val="ac"/>
          <w:rFonts w:hint="eastAsia"/>
        </w:rPr>
        <w:t xml:space="preserve">　</w:t>
      </w:r>
      <w:r>
        <w:rPr>
          <w:rFonts w:hint="eastAsia"/>
        </w:rPr>
        <w:t>自然人在战争期间下落不明的，利害关系人申请宣告死亡的期间适用民法典第四十六条第一款第一项的规定，自战争结束之日或者有关机关确定的下落不明之日起计算。</w:t>
      </w:r>
    </w:p>
    <w:p w:rsidR="00233C40" w:rsidRPr="00DD313D" w:rsidRDefault="00061462" w:rsidP="008250BC">
      <w:pPr>
        <w:pStyle w:val="ab"/>
        <w:ind w:firstLine="640"/>
        <w:rPr>
          <w:rStyle w:val="ac"/>
        </w:rPr>
      </w:pPr>
      <w:r w:rsidRPr="00DD313D">
        <w:rPr>
          <w:rStyle w:val="ac"/>
          <w:rFonts w:hint="eastAsia"/>
        </w:rPr>
        <w:lastRenderedPageBreak/>
        <w:t>五、民事法律行为</w:t>
      </w:r>
    </w:p>
    <w:p w:rsidR="00233C40" w:rsidRDefault="00061462" w:rsidP="008250BC">
      <w:pPr>
        <w:pStyle w:val="ab"/>
        <w:ind w:firstLine="640"/>
      </w:pPr>
      <w:r w:rsidRPr="00DD313D">
        <w:rPr>
          <w:rStyle w:val="ac"/>
          <w:rFonts w:hint="eastAsia"/>
        </w:rPr>
        <w:t>第十八条</w:t>
      </w:r>
      <w:r w:rsidR="00DD313D" w:rsidRPr="00DD313D">
        <w:rPr>
          <w:rStyle w:val="ac"/>
          <w:rFonts w:hint="eastAsia"/>
        </w:rPr>
        <w:t xml:space="preserve">　</w:t>
      </w:r>
      <w:r>
        <w:rPr>
          <w:rFonts w:hint="eastAsia"/>
        </w:rPr>
        <w:t>当事人未采用书面形式或者口头形式，但是实施的行为本身表明已经作出相应意思表示，并符合民事法律行为成立条件的，人民法院可以认定为民法典第一百三十五条规定的采用其他形式实施的民事法律行为。</w:t>
      </w:r>
    </w:p>
    <w:p w:rsidR="00233C40" w:rsidRDefault="00061462" w:rsidP="008250BC">
      <w:pPr>
        <w:pStyle w:val="ab"/>
        <w:ind w:firstLine="640"/>
      </w:pPr>
      <w:r w:rsidRPr="00DD313D">
        <w:rPr>
          <w:rStyle w:val="ac"/>
          <w:rFonts w:hint="eastAsia"/>
        </w:rPr>
        <w:t>第十九条</w:t>
      </w:r>
      <w:r w:rsidR="00DD313D" w:rsidRPr="00DD313D">
        <w:rPr>
          <w:rStyle w:val="ac"/>
          <w:rFonts w:hint="eastAsia"/>
        </w:rPr>
        <w:t xml:space="preserve">　</w:t>
      </w:r>
      <w:r>
        <w:rPr>
          <w:rFonts w:hint="eastAsia"/>
        </w:rPr>
        <w:t>行为人对行为的性质、对方当事人或者标的物的品种、质量、规格、价格、数量等产生错误认识，按照通常理解如果不发生该错误认识行为人就不会作出相应意思表示的，人民法院可以认定为民法典第一百四十七条规定的重大误解。</w:t>
      </w:r>
    </w:p>
    <w:p w:rsidR="00233C40" w:rsidRDefault="00061462" w:rsidP="008250BC">
      <w:pPr>
        <w:pStyle w:val="ab"/>
        <w:ind w:firstLine="640"/>
      </w:pPr>
      <w:r>
        <w:rPr>
          <w:rFonts w:hint="eastAsia"/>
        </w:rPr>
        <w:t>行为人能够证明自己实施民事法律行为时存在重大误解，并请求撤销该民事法律行为的，人民法院依法予以支持；但是，根据交易习惯等认定行为人无权请求撤销的除外。</w:t>
      </w:r>
    </w:p>
    <w:p w:rsidR="00233C40" w:rsidRDefault="00061462" w:rsidP="008250BC">
      <w:pPr>
        <w:pStyle w:val="ab"/>
        <w:ind w:firstLine="640"/>
      </w:pPr>
      <w:r w:rsidRPr="00DD313D">
        <w:rPr>
          <w:rStyle w:val="ac"/>
          <w:rFonts w:hint="eastAsia"/>
        </w:rPr>
        <w:t>第二十条</w:t>
      </w:r>
      <w:r w:rsidR="00DD313D" w:rsidRPr="00DD313D">
        <w:rPr>
          <w:rStyle w:val="ac"/>
          <w:rFonts w:hint="eastAsia"/>
        </w:rPr>
        <w:t xml:space="preserve">　</w:t>
      </w:r>
      <w:r>
        <w:rPr>
          <w:rFonts w:hint="eastAsia"/>
        </w:rPr>
        <w:t>行为人以其意思表示存在第三人转达错误为由请求撤销民事法律行为的，适用本解释第十九条的规定。</w:t>
      </w:r>
    </w:p>
    <w:p w:rsidR="00233C40" w:rsidRDefault="00061462" w:rsidP="008250BC">
      <w:pPr>
        <w:pStyle w:val="ab"/>
        <w:ind w:firstLine="640"/>
      </w:pPr>
      <w:r w:rsidRPr="00DD313D">
        <w:rPr>
          <w:rStyle w:val="ac"/>
          <w:rFonts w:hint="eastAsia"/>
        </w:rPr>
        <w:t>第二十一条</w:t>
      </w:r>
      <w:r w:rsidR="00DD313D" w:rsidRPr="00DD313D">
        <w:rPr>
          <w:rStyle w:val="ac"/>
          <w:rFonts w:hint="eastAsia"/>
        </w:rPr>
        <w:t xml:space="preserve">　</w:t>
      </w:r>
      <w:r>
        <w:rPr>
          <w:rFonts w:hint="eastAsia"/>
        </w:rPr>
        <w:t>故意告知虚假情况，或者负有告知义务的人故意隐瞒真实情况，致使当事人基于错误认识作出意思表示的，人民法院可以认定为民法典第一百四十八条、第一百四十九条规定的欺诈。</w:t>
      </w:r>
    </w:p>
    <w:p w:rsidR="00233C40" w:rsidRDefault="00061462" w:rsidP="008250BC">
      <w:pPr>
        <w:pStyle w:val="ab"/>
        <w:ind w:firstLine="640"/>
      </w:pPr>
      <w:r w:rsidRPr="00DD313D">
        <w:rPr>
          <w:rStyle w:val="ac"/>
          <w:rFonts w:hint="eastAsia"/>
        </w:rPr>
        <w:t>第二十二条</w:t>
      </w:r>
      <w:r w:rsidR="00DD313D" w:rsidRPr="00DD313D">
        <w:rPr>
          <w:rStyle w:val="ac"/>
          <w:rFonts w:hint="eastAsia"/>
        </w:rPr>
        <w:t xml:space="preserve">　</w:t>
      </w:r>
      <w:r>
        <w:rPr>
          <w:rFonts w:hint="eastAsia"/>
        </w:rPr>
        <w:t>以给自然人及其近亲属等的人身权利、财产权利以及其他合法权益造成损害或者以给法人、非法人组织的名誉、荣誉、财产权益等造成损害为要挟，迫使其基于恐惧心理作出意思表示的，人民法院可以认定为民法典第一百五十条规定的胁迫。</w:t>
      </w:r>
    </w:p>
    <w:p w:rsidR="00233C40" w:rsidRPr="00DD313D" w:rsidRDefault="00061462" w:rsidP="008250BC">
      <w:pPr>
        <w:pStyle w:val="ab"/>
        <w:ind w:firstLine="640"/>
        <w:rPr>
          <w:spacing w:val="4"/>
        </w:rPr>
      </w:pPr>
      <w:r w:rsidRPr="00DD313D">
        <w:rPr>
          <w:rStyle w:val="ac"/>
          <w:rFonts w:hint="eastAsia"/>
        </w:rPr>
        <w:lastRenderedPageBreak/>
        <w:t>第二十三条</w:t>
      </w:r>
      <w:r w:rsidR="00DD313D" w:rsidRPr="00DD313D">
        <w:rPr>
          <w:rStyle w:val="ac"/>
          <w:rFonts w:hint="eastAsia"/>
        </w:rPr>
        <w:t xml:space="preserve">　</w:t>
      </w:r>
      <w:r>
        <w:rPr>
          <w:rFonts w:hint="eastAsia"/>
        </w:rPr>
        <w:t>民事法律行为不成立，当事人请求返还财产、折价补偿或者赔偿损失的，</w:t>
      </w:r>
      <w:r w:rsidRPr="00DD313D">
        <w:rPr>
          <w:rFonts w:hint="eastAsia"/>
          <w:spacing w:val="4"/>
        </w:rPr>
        <w:t>参照适用民法典第一百五十七条的规定。</w:t>
      </w:r>
    </w:p>
    <w:p w:rsidR="00233C40" w:rsidRDefault="00061462" w:rsidP="008250BC">
      <w:pPr>
        <w:pStyle w:val="ab"/>
        <w:ind w:firstLine="640"/>
      </w:pPr>
      <w:r w:rsidRPr="00DD313D">
        <w:rPr>
          <w:rStyle w:val="ac"/>
          <w:rFonts w:hint="eastAsia"/>
        </w:rPr>
        <w:t>第二十四条</w:t>
      </w:r>
      <w:r w:rsidR="00DD313D" w:rsidRPr="00DD313D">
        <w:rPr>
          <w:rStyle w:val="ac"/>
          <w:rFonts w:hint="eastAsia"/>
        </w:rPr>
        <w:t xml:space="preserve">　</w:t>
      </w:r>
      <w:r>
        <w:rPr>
          <w:rFonts w:hint="eastAsia"/>
        </w:rPr>
        <w:t>民事法律行为所附条件不可能发生，当事人约定为生效条件的，人民法院应当认定民事法律行为不发生效力；当事人约定为解除条件的，应当认定未附条件，民事法律行为是否失效，依照民法典和相关法律、行政法规的规定认定。</w:t>
      </w:r>
    </w:p>
    <w:p w:rsidR="00233C40" w:rsidRPr="00DD313D" w:rsidRDefault="00061462" w:rsidP="008250BC">
      <w:pPr>
        <w:pStyle w:val="ab"/>
        <w:ind w:firstLine="640"/>
        <w:rPr>
          <w:rStyle w:val="ac"/>
        </w:rPr>
      </w:pPr>
      <w:r w:rsidRPr="00DD313D">
        <w:rPr>
          <w:rStyle w:val="ac"/>
          <w:rFonts w:hint="eastAsia"/>
        </w:rPr>
        <w:t>六、代理</w:t>
      </w:r>
    </w:p>
    <w:p w:rsidR="00233C40" w:rsidRDefault="00061462" w:rsidP="008250BC">
      <w:pPr>
        <w:pStyle w:val="ab"/>
        <w:ind w:firstLine="640"/>
      </w:pPr>
      <w:r w:rsidRPr="00DD313D">
        <w:rPr>
          <w:rStyle w:val="ac"/>
          <w:rFonts w:hint="eastAsia"/>
        </w:rPr>
        <w:t>第二十五条</w:t>
      </w:r>
      <w:r w:rsidR="00DD313D" w:rsidRPr="00DD313D">
        <w:rPr>
          <w:rStyle w:val="ac"/>
          <w:rFonts w:hint="eastAsia"/>
        </w:rPr>
        <w:t xml:space="preserve">　</w:t>
      </w:r>
      <w:r>
        <w:rPr>
          <w:rFonts w:hint="eastAsia"/>
        </w:rPr>
        <w:t>数个委托代理人共同行使代理权，其中一人或者数人未与其他委托代理人协商，擅自行使代理权的，依据民法典第一百七十一条、第一百七十二条等规定处理。</w:t>
      </w:r>
    </w:p>
    <w:p w:rsidR="00233C40" w:rsidRDefault="00061462" w:rsidP="008250BC">
      <w:pPr>
        <w:pStyle w:val="ab"/>
        <w:ind w:firstLine="640"/>
      </w:pPr>
      <w:r w:rsidRPr="00DD313D">
        <w:rPr>
          <w:rStyle w:val="ac"/>
          <w:rFonts w:hint="eastAsia"/>
        </w:rPr>
        <w:t>第二十六条</w:t>
      </w:r>
      <w:r w:rsidR="00DD313D" w:rsidRPr="00DD313D">
        <w:rPr>
          <w:rStyle w:val="ac"/>
          <w:rFonts w:hint="eastAsia"/>
        </w:rPr>
        <w:t xml:space="preserve">　</w:t>
      </w:r>
      <w:r>
        <w:rPr>
          <w:rFonts w:hint="eastAsia"/>
        </w:rPr>
        <w:t>由于急病、通讯联络中断、疫情防控等特殊原因，委托代理人自己不能办理代理事项，又不能与被代理人及时取得联系，如不及时转委托第三人代理，会给被代理人的利益造成损失或者扩大损失的，人民法院应当认定为民法典第一百六十九条规定的紧急情况。</w:t>
      </w:r>
    </w:p>
    <w:p w:rsidR="00233C40" w:rsidRDefault="00061462" w:rsidP="008250BC">
      <w:pPr>
        <w:pStyle w:val="ab"/>
        <w:ind w:firstLine="640"/>
      </w:pPr>
      <w:r w:rsidRPr="00DD313D">
        <w:rPr>
          <w:rStyle w:val="ac"/>
          <w:rFonts w:hint="eastAsia"/>
        </w:rPr>
        <w:t>第二十七条</w:t>
      </w:r>
      <w:r w:rsidR="00DD313D" w:rsidRPr="00DD313D">
        <w:rPr>
          <w:rStyle w:val="ac"/>
          <w:rFonts w:hint="eastAsia"/>
        </w:rPr>
        <w:t xml:space="preserve">　</w:t>
      </w:r>
      <w:r>
        <w:rPr>
          <w:rFonts w:hint="eastAsia"/>
        </w:rPr>
        <w:t>无权代理行为未被追认，相对人请求行为人履行债务或者赔偿损失的，由行为人就相对人知道或者应当知道行为人无权代理承担举证责任。行为人不能证明的，人民法院依法支持相对人的相应诉讼请求；行为人能够证明的，人民法院应当按照各自的过错认定行为人与相对人的责任。</w:t>
      </w:r>
    </w:p>
    <w:p w:rsidR="00233C40" w:rsidRDefault="00061462" w:rsidP="008250BC">
      <w:pPr>
        <w:pStyle w:val="ab"/>
        <w:ind w:firstLine="640"/>
      </w:pPr>
      <w:r w:rsidRPr="00DD313D">
        <w:rPr>
          <w:rStyle w:val="ac"/>
          <w:rFonts w:hint="eastAsia"/>
        </w:rPr>
        <w:t>第二十八条</w:t>
      </w:r>
      <w:r w:rsidR="00DD313D" w:rsidRPr="00DD313D">
        <w:rPr>
          <w:rStyle w:val="ac"/>
          <w:rFonts w:hint="eastAsia"/>
        </w:rPr>
        <w:t xml:space="preserve">　</w:t>
      </w:r>
      <w:r>
        <w:rPr>
          <w:rFonts w:hint="eastAsia"/>
        </w:rPr>
        <w:t>同时符合下列条件的，人民法院可以认定为民</w:t>
      </w:r>
      <w:r>
        <w:rPr>
          <w:rFonts w:hint="eastAsia"/>
        </w:rPr>
        <w:lastRenderedPageBreak/>
        <w:t>法典第一百七十二条规定的相对人有理由相信行为人有代理权：</w:t>
      </w:r>
    </w:p>
    <w:p w:rsidR="00233C40" w:rsidRDefault="00061462" w:rsidP="008250BC">
      <w:pPr>
        <w:pStyle w:val="ab"/>
        <w:ind w:firstLine="640"/>
      </w:pPr>
      <w:r>
        <w:rPr>
          <w:rFonts w:hint="eastAsia"/>
        </w:rPr>
        <w:t>（一）存在代理权的外观；</w:t>
      </w:r>
    </w:p>
    <w:p w:rsidR="00233C40" w:rsidRDefault="00061462" w:rsidP="008250BC">
      <w:pPr>
        <w:pStyle w:val="ab"/>
        <w:ind w:firstLine="640"/>
      </w:pPr>
      <w:r>
        <w:rPr>
          <w:rFonts w:hint="eastAsia"/>
        </w:rPr>
        <w:t>（二）相对人不知道行为人行为时没有代理权，且无过失。</w:t>
      </w:r>
    </w:p>
    <w:p w:rsidR="00233C40" w:rsidRDefault="00061462" w:rsidP="008250BC">
      <w:pPr>
        <w:pStyle w:val="ab"/>
        <w:ind w:firstLine="640"/>
      </w:pPr>
      <w:r>
        <w:rPr>
          <w:rFonts w:hint="eastAsia"/>
        </w:rPr>
        <w:t>因是否构成表见代理发生争议的，相对人应当就无权代理符合前款第一项规定的条件承担举证责任；被代理人应当就相对人不符合前款第二项规定的条件承担举证责任。</w:t>
      </w:r>
    </w:p>
    <w:p w:rsidR="00233C40" w:rsidRDefault="00061462" w:rsidP="008250BC">
      <w:pPr>
        <w:pStyle w:val="ab"/>
        <w:ind w:firstLine="640"/>
      </w:pPr>
      <w:r w:rsidRPr="00DD313D">
        <w:rPr>
          <w:rStyle w:val="ac"/>
          <w:rFonts w:hint="eastAsia"/>
        </w:rPr>
        <w:t>第二十九条</w:t>
      </w:r>
      <w:r w:rsidR="00DD313D" w:rsidRPr="00DD313D">
        <w:rPr>
          <w:rStyle w:val="ac"/>
          <w:rFonts w:hint="eastAsia"/>
        </w:rPr>
        <w:t xml:space="preserve">　</w:t>
      </w:r>
      <w:r>
        <w:rPr>
          <w:rFonts w:hint="eastAsia"/>
        </w:rPr>
        <w:t>法定代理人、被代理人依据民法典第一百四十五条、第一百七十一条的规定向相对人作出追认的意思表示的，人民法院应当依据民法典第一百三十七条的规定确认其追认意思表示的生效时间。</w:t>
      </w:r>
    </w:p>
    <w:p w:rsidR="00233C40" w:rsidRPr="00DD313D" w:rsidRDefault="00061462" w:rsidP="008250BC">
      <w:pPr>
        <w:pStyle w:val="ab"/>
        <w:ind w:firstLine="640"/>
        <w:rPr>
          <w:rStyle w:val="ac"/>
        </w:rPr>
      </w:pPr>
      <w:r w:rsidRPr="00DD313D">
        <w:rPr>
          <w:rStyle w:val="ac"/>
          <w:rFonts w:hint="eastAsia"/>
        </w:rPr>
        <w:t>七、民事责任</w:t>
      </w:r>
    </w:p>
    <w:p w:rsidR="00233C40" w:rsidRDefault="00061462" w:rsidP="008250BC">
      <w:pPr>
        <w:pStyle w:val="ab"/>
        <w:ind w:firstLine="640"/>
      </w:pPr>
      <w:r w:rsidRPr="00DD313D">
        <w:rPr>
          <w:rStyle w:val="ac"/>
          <w:rFonts w:hint="eastAsia"/>
        </w:rPr>
        <w:t>第三十条</w:t>
      </w:r>
      <w:r w:rsidR="00DD313D" w:rsidRPr="00DD313D">
        <w:rPr>
          <w:rStyle w:val="ac"/>
          <w:rFonts w:hint="eastAsia"/>
        </w:rPr>
        <w:t xml:space="preserve">　</w:t>
      </w:r>
      <w:r>
        <w:rPr>
          <w:rFonts w:hint="eastAsia"/>
        </w:rPr>
        <w:t>为了使国家利益、社会公共利益、本人或者他人的人身权利、财产权利以及其他合法权益免受正在进行的不法侵害，而针对实施侵害行为的人采取的制止不法侵害的行为，应当认定为民法典第一百八十一条规定的正当防卫。</w:t>
      </w:r>
    </w:p>
    <w:p w:rsidR="00233C40" w:rsidRDefault="00061462" w:rsidP="008250BC">
      <w:pPr>
        <w:pStyle w:val="ab"/>
        <w:ind w:firstLine="640"/>
      </w:pPr>
      <w:r w:rsidRPr="00DD313D">
        <w:rPr>
          <w:rStyle w:val="ac"/>
          <w:rFonts w:hint="eastAsia"/>
        </w:rPr>
        <w:t>第三十一条</w:t>
      </w:r>
      <w:r w:rsidR="00DD313D" w:rsidRPr="00DD313D">
        <w:rPr>
          <w:rStyle w:val="ac"/>
          <w:rFonts w:hint="eastAsia"/>
        </w:rPr>
        <w:t xml:space="preserve">　</w:t>
      </w:r>
      <w:r>
        <w:rPr>
          <w:rFonts w:hint="eastAsia"/>
        </w:rPr>
        <w:t>对于正当防卫是否超过必要的限度，人民法院应当综合不法侵害的性质、手段、强度、危害程度和防卫的时机、手段、强度、损害后果等因素判断。</w:t>
      </w:r>
    </w:p>
    <w:p w:rsidR="00233C40" w:rsidRPr="00DD313D" w:rsidRDefault="00061462" w:rsidP="00DD313D">
      <w:pPr>
        <w:pStyle w:val="ab"/>
        <w:ind w:firstLine="620"/>
        <w:rPr>
          <w:spacing w:val="-5"/>
        </w:rPr>
      </w:pPr>
      <w:r w:rsidRPr="00DD313D">
        <w:rPr>
          <w:rFonts w:hint="eastAsia"/>
          <w:spacing w:val="-5"/>
        </w:rPr>
        <w:t>经审理，正当防卫没有超过必要限度的，人民法院应当认定正当防卫人不承担责任。正当防卫超过必要限度的，人民法院应当认定正当防卫人在造成不应有的损害范围内承担部分责任;实施侵害行为的人请求正当防卫人承担全部责任的，人民法院不予支持。</w:t>
      </w:r>
    </w:p>
    <w:p w:rsidR="00233C40" w:rsidRDefault="00061462" w:rsidP="008250BC">
      <w:pPr>
        <w:pStyle w:val="ab"/>
        <w:ind w:firstLine="640"/>
      </w:pPr>
      <w:r>
        <w:rPr>
          <w:rFonts w:hint="eastAsia"/>
        </w:rPr>
        <w:lastRenderedPageBreak/>
        <w:t>实施侵害行为的人不能证明防卫行为造成不应有的损害，仅以正当防卫人采取的反击方式和强度与不法侵害不相当为由主张防卫过当的，人民法院不予支持。</w:t>
      </w:r>
    </w:p>
    <w:p w:rsidR="00233C40" w:rsidRDefault="00061462" w:rsidP="008250BC">
      <w:pPr>
        <w:pStyle w:val="ab"/>
        <w:ind w:firstLine="640"/>
      </w:pPr>
      <w:r w:rsidRPr="00DD313D">
        <w:rPr>
          <w:rStyle w:val="ac"/>
          <w:rFonts w:hint="eastAsia"/>
        </w:rPr>
        <w:t>第三十二条</w:t>
      </w:r>
      <w:r w:rsidR="00DD313D" w:rsidRPr="00DD313D">
        <w:rPr>
          <w:rStyle w:val="ac"/>
          <w:rFonts w:hint="eastAsia"/>
        </w:rPr>
        <w:t xml:space="preserve">　</w:t>
      </w:r>
      <w:r>
        <w:rPr>
          <w:rFonts w:hint="eastAsia"/>
        </w:rPr>
        <w:t>为了使国家利益、社会公共利益、本人或者他人的人身权利、财产权利以及其他合法权益免受正在发生的急迫危险，不得已而采取紧急措施的，应当认定为民法典第一百八十二条规定的紧急避险。</w:t>
      </w:r>
    </w:p>
    <w:p w:rsidR="00233C40" w:rsidRDefault="00061462" w:rsidP="008250BC">
      <w:pPr>
        <w:pStyle w:val="ab"/>
        <w:ind w:firstLine="640"/>
      </w:pPr>
      <w:r w:rsidRPr="00DD313D">
        <w:rPr>
          <w:rStyle w:val="ac"/>
          <w:rFonts w:hint="eastAsia"/>
        </w:rPr>
        <w:t>第三十三条</w:t>
      </w:r>
      <w:r w:rsidR="00DD313D" w:rsidRPr="00DD313D">
        <w:rPr>
          <w:rStyle w:val="ac"/>
          <w:rFonts w:hint="eastAsia"/>
        </w:rPr>
        <w:t xml:space="preserve">　</w:t>
      </w:r>
      <w:r>
        <w:rPr>
          <w:rFonts w:hint="eastAsia"/>
        </w:rPr>
        <w:t>对于紧急避险是否采取措施不当或者超过必要的限度，人民法院应当综合危险的性质、急迫程度、避险行为所保护的权益以及造成的损害后果等因素判断。</w:t>
      </w:r>
    </w:p>
    <w:p w:rsidR="00233C40" w:rsidRDefault="00061462" w:rsidP="008250BC">
      <w:pPr>
        <w:pStyle w:val="ab"/>
        <w:ind w:firstLine="640"/>
      </w:pPr>
      <w:r>
        <w:rPr>
          <w:rFonts w:hint="eastAsia"/>
        </w:rPr>
        <w:t>经审理，紧急避险采取措施并无不当且没有超过必要限度的，人民法院应当认定紧急避险人不承担责任。紧急避险采取措施不当或者超过必要限度的，人民法院应当根据紧急避险人的过错程度、避险措施造成不应有的损害的原因力大小、紧急避险人是否为受益人等因素认定紧急避险人在造成的不应有的损害范围内承担相应的责任。</w:t>
      </w:r>
    </w:p>
    <w:p w:rsidR="00233C40" w:rsidRDefault="00061462" w:rsidP="008250BC">
      <w:pPr>
        <w:pStyle w:val="ab"/>
        <w:ind w:firstLine="640"/>
      </w:pPr>
      <w:r w:rsidRPr="00DD313D">
        <w:rPr>
          <w:rStyle w:val="ac"/>
          <w:rFonts w:hint="eastAsia"/>
        </w:rPr>
        <w:t>第三十四条</w:t>
      </w:r>
      <w:r w:rsidR="00DD313D" w:rsidRPr="00DD313D">
        <w:rPr>
          <w:rStyle w:val="ac"/>
          <w:rFonts w:hint="eastAsia"/>
        </w:rPr>
        <w:t xml:space="preserve">　</w:t>
      </w:r>
      <w:r>
        <w:rPr>
          <w:rFonts w:hint="eastAsia"/>
        </w:rPr>
        <w:t>因保护他人民事权益使自己受到损害，受害人依据民法典第一百八十三条的规定请求受益人适当补偿的，人民法院可以根据受害人所受损失和已获赔偿的情况、受益人受益的多少及其经济条件等因素确定受益人承担的补偿数额。</w:t>
      </w:r>
    </w:p>
    <w:p w:rsidR="00233C40" w:rsidRPr="00DD313D" w:rsidRDefault="00061462" w:rsidP="008250BC">
      <w:pPr>
        <w:pStyle w:val="ab"/>
        <w:ind w:firstLine="640"/>
        <w:rPr>
          <w:rStyle w:val="ac"/>
        </w:rPr>
      </w:pPr>
      <w:r w:rsidRPr="00DD313D">
        <w:rPr>
          <w:rStyle w:val="ac"/>
          <w:rFonts w:hint="eastAsia"/>
        </w:rPr>
        <w:t>八、诉讼时效</w:t>
      </w:r>
    </w:p>
    <w:p w:rsidR="00233C40" w:rsidRDefault="00061462" w:rsidP="008250BC">
      <w:pPr>
        <w:pStyle w:val="ab"/>
        <w:ind w:firstLine="640"/>
      </w:pPr>
      <w:r w:rsidRPr="00DD313D">
        <w:rPr>
          <w:rStyle w:val="ac"/>
          <w:rFonts w:hint="eastAsia"/>
        </w:rPr>
        <w:t>第三十五条</w:t>
      </w:r>
      <w:r w:rsidR="00DD313D" w:rsidRPr="00DD313D">
        <w:rPr>
          <w:rStyle w:val="ac"/>
          <w:rFonts w:hint="eastAsia"/>
        </w:rPr>
        <w:t xml:space="preserve">　</w:t>
      </w:r>
      <w:r>
        <w:rPr>
          <w:rFonts w:hint="eastAsia"/>
        </w:rPr>
        <w:t>民法典第一百八十八条第一款规定的三年诉</w:t>
      </w:r>
      <w:r>
        <w:rPr>
          <w:rFonts w:hint="eastAsia"/>
        </w:rPr>
        <w:lastRenderedPageBreak/>
        <w:t>讼时效期间，可以适用民法典有关诉讼时效中止、中断的规定，不适用延长的规定。该条第二款规定的二十年期间不适用中止、中断的规定。</w:t>
      </w:r>
    </w:p>
    <w:p w:rsidR="00233C40" w:rsidRDefault="00061462" w:rsidP="008250BC">
      <w:pPr>
        <w:pStyle w:val="ab"/>
        <w:ind w:firstLine="640"/>
      </w:pPr>
      <w:r w:rsidRPr="00DD313D">
        <w:rPr>
          <w:rStyle w:val="ac"/>
          <w:rFonts w:hint="eastAsia"/>
        </w:rPr>
        <w:t>第三十六条</w:t>
      </w:r>
      <w:r w:rsidR="00DD313D" w:rsidRPr="00DD313D">
        <w:rPr>
          <w:rStyle w:val="ac"/>
          <w:rFonts w:hint="eastAsia"/>
        </w:rPr>
        <w:t xml:space="preserve">　</w:t>
      </w:r>
      <w:r>
        <w:rPr>
          <w:rFonts w:hint="eastAsia"/>
        </w:rPr>
        <w:t>无民事行为能力人或者限制民事行为能力人的权利受到损害的，诉讼时效期间自其法定代理人知道或者应当知道权利受到损害以及义务人之日起计算，但是法律另有规定的除外。</w:t>
      </w:r>
    </w:p>
    <w:p w:rsidR="00233C40" w:rsidRPr="00D42B95" w:rsidRDefault="00061462" w:rsidP="008250BC">
      <w:pPr>
        <w:pStyle w:val="ab"/>
        <w:ind w:firstLine="640"/>
        <w:rPr>
          <w:spacing w:val="2"/>
        </w:rPr>
      </w:pPr>
      <w:r w:rsidRPr="00DD313D">
        <w:rPr>
          <w:rStyle w:val="ac"/>
          <w:rFonts w:hint="eastAsia"/>
        </w:rPr>
        <w:t>第三十七条</w:t>
      </w:r>
      <w:r w:rsidR="00DD313D" w:rsidRPr="00DD313D">
        <w:rPr>
          <w:rStyle w:val="ac"/>
          <w:rFonts w:hint="eastAsia"/>
        </w:rPr>
        <w:t xml:space="preserve">　</w:t>
      </w:r>
      <w:r>
        <w:rPr>
          <w:rFonts w:hint="eastAsia"/>
        </w:rPr>
        <w:t>无民事行为能力人、限制民事行为能力人的权利受到原法定代理人损害，且在取得、恢复完全民事行为能力或者在原法定代理终止并确定新的法定代理人后，相应民事主体才知道或者应当知道权利受到损害的，</w:t>
      </w:r>
      <w:r w:rsidRPr="00D42B95">
        <w:rPr>
          <w:rFonts w:hint="eastAsia"/>
          <w:spacing w:val="2"/>
        </w:rPr>
        <w:t>有关请求权诉讼时效期间的计算适用民法典第一百八十八条第二款、本解释第三十六条的规定。</w:t>
      </w:r>
    </w:p>
    <w:p w:rsidR="00233C40" w:rsidRDefault="00061462" w:rsidP="008250BC">
      <w:pPr>
        <w:pStyle w:val="ab"/>
        <w:ind w:firstLine="640"/>
      </w:pPr>
      <w:r w:rsidRPr="00DD313D">
        <w:rPr>
          <w:rStyle w:val="ac"/>
          <w:rFonts w:hint="eastAsia"/>
        </w:rPr>
        <w:t>第三十八条</w:t>
      </w:r>
      <w:r w:rsidR="00DD313D" w:rsidRPr="00DD313D">
        <w:rPr>
          <w:rStyle w:val="ac"/>
          <w:rFonts w:hint="eastAsia"/>
        </w:rPr>
        <w:t xml:space="preserve">　</w:t>
      </w:r>
      <w:r>
        <w:rPr>
          <w:rFonts w:hint="eastAsia"/>
        </w:rPr>
        <w:t>诉讼时效依据民法典第一百九十五条的规定中断后，在新的诉讼时效期间内，再次出现第一百九十五条规定的中断事由，可以认定为诉讼时效再次中断。</w:t>
      </w:r>
    </w:p>
    <w:p w:rsidR="00233C40" w:rsidRDefault="00061462" w:rsidP="008250BC">
      <w:pPr>
        <w:pStyle w:val="ab"/>
        <w:ind w:firstLine="640"/>
      </w:pPr>
      <w:r>
        <w:rPr>
          <w:rFonts w:hint="eastAsia"/>
        </w:rPr>
        <w:t>权利人向义务人的代理人、财产代管人或者遗产管理人等提出履行请求的，可以认定为民法典第一百九十五条规定的诉讼时效中断。</w:t>
      </w:r>
    </w:p>
    <w:p w:rsidR="00233C40" w:rsidRPr="00DD313D" w:rsidRDefault="00061462" w:rsidP="008250BC">
      <w:pPr>
        <w:pStyle w:val="ab"/>
        <w:ind w:firstLine="640"/>
        <w:rPr>
          <w:rStyle w:val="ac"/>
        </w:rPr>
      </w:pPr>
      <w:r w:rsidRPr="00DD313D">
        <w:rPr>
          <w:rStyle w:val="ac"/>
          <w:rFonts w:hint="eastAsia"/>
        </w:rPr>
        <w:t>九、附则</w:t>
      </w:r>
    </w:p>
    <w:p w:rsidR="00233C40" w:rsidRDefault="00061462" w:rsidP="008250BC">
      <w:pPr>
        <w:pStyle w:val="ab"/>
        <w:ind w:firstLine="640"/>
      </w:pPr>
      <w:r w:rsidRPr="00DD313D">
        <w:rPr>
          <w:rStyle w:val="ac"/>
          <w:rFonts w:hint="eastAsia"/>
        </w:rPr>
        <w:t>第三十九条</w:t>
      </w:r>
      <w:r w:rsidR="00DD313D" w:rsidRPr="00DD313D">
        <w:rPr>
          <w:rStyle w:val="ac"/>
          <w:rFonts w:hint="eastAsia"/>
        </w:rPr>
        <w:t xml:space="preserve">　</w:t>
      </w:r>
      <w:r>
        <w:rPr>
          <w:rFonts w:hint="eastAsia"/>
        </w:rPr>
        <w:t>本解释自2022年3月1日起施行。</w:t>
      </w:r>
    </w:p>
    <w:p w:rsidR="00233C40" w:rsidRPr="00E258F2" w:rsidRDefault="00061462" w:rsidP="00A73A28">
      <w:pPr>
        <w:pStyle w:val="ab"/>
        <w:ind w:firstLine="640"/>
      </w:pPr>
      <w:r>
        <w:rPr>
          <w:rFonts w:hint="eastAsia"/>
        </w:rPr>
        <w:t>民法典施行后的法律事实引起的民事案件，本解释施行后尚</w:t>
      </w:r>
      <w:r>
        <w:rPr>
          <w:rFonts w:hint="eastAsia"/>
        </w:rPr>
        <w:lastRenderedPageBreak/>
        <w:t>未终审的，适用本解释；本解释施行前已经终审，当事人申请再审或者按照审判监督程序决定再审的，不适用本解释。</w:t>
      </w:r>
      <w:bookmarkStart w:id="0" w:name="_GoBack"/>
      <w:bookmarkEnd w:id="0"/>
    </w:p>
    <w:sectPr w:rsidR="00233C40" w:rsidRPr="00E258F2" w:rsidSect="00697774">
      <w:footerReference w:type="even" r:id="rId9"/>
      <w:footerReference w:type="default" r:id="rId10"/>
      <w:pgSz w:w="11906" w:h="16838" w:code="9"/>
      <w:pgMar w:top="2098" w:right="1474" w:bottom="1985" w:left="1588"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3CA" w:rsidRDefault="006D33CA">
      <w:r>
        <w:separator/>
      </w:r>
    </w:p>
  </w:endnote>
  <w:endnote w:type="continuationSeparator" w:id="0">
    <w:p w:rsidR="006D33CA" w:rsidRDefault="006D3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774" w:rsidRPr="00697774" w:rsidRDefault="00A73A28" w:rsidP="00A73A28">
    <w:pPr>
      <w:pStyle w:val="af"/>
      <w:ind w:right="-378"/>
    </w:pPr>
    <w:r>
      <w:fldChar w:fldCharType="begin"/>
    </w:r>
    <w:r>
      <w:instrText xml:space="preserve"> PAGE  \* ArabicDash  \* MERGEFORMAT </w:instrText>
    </w:r>
    <w:r>
      <w:fldChar w:fldCharType="separate"/>
    </w:r>
    <w:r>
      <w:rPr>
        <w:noProof/>
      </w:rPr>
      <w:t>- 12 -</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774" w:rsidRPr="00697774" w:rsidRDefault="00A73A28" w:rsidP="00A73A28">
    <w:pPr>
      <w:pStyle w:val="ae"/>
      <w:ind w:left="-378"/>
    </w:pPr>
    <w:r>
      <w:fldChar w:fldCharType="begin"/>
    </w:r>
    <w:r>
      <w:instrText xml:space="preserve"> PAGE  \* ArabicDash  \* MERGEFORMAT </w:instrText>
    </w:r>
    <w:r>
      <w:fldChar w:fldCharType="separate"/>
    </w:r>
    <w:r>
      <w:rPr>
        <w:noProof/>
      </w:rPr>
      <w:t>- 11 -</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3CA" w:rsidRDefault="006D33CA">
      <w:r>
        <w:separator/>
      </w:r>
    </w:p>
  </w:footnote>
  <w:footnote w:type="continuationSeparator" w:id="0">
    <w:p w:rsidR="006D33CA" w:rsidRDefault="006D33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7D4F73E"/>
    <w:lvl w:ilvl="0">
      <w:start w:val="1"/>
      <w:numFmt w:val="decimal"/>
      <w:lvlText w:val="%1."/>
      <w:lvlJc w:val="left"/>
      <w:pPr>
        <w:tabs>
          <w:tab w:val="num" w:pos="2040"/>
        </w:tabs>
        <w:ind w:leftChars="800" w:left="2040" w:hangingChars="200" w:hanging="360"/>
      </w:pPr>
    </w:lvl>
  </w:abstractNum>
  <w:abstractNum w:abstractNumId="1">
    <w:nsid w:val="FFFFFF7D"/>
    <w:multiLevelType w:val="singleLevel"/>
    <w:tmpl w:val="A866F966"/>
    <w:lvl w:ilvl="0">
      <w:start w:val="1"/>
      <w:numFmt w:val="decimal"/>
      <w:lvlText w:val="%1."/>
      <w:lvlJc w:val="left"/>
      <w:pPr>
        <w:tabs>
          <w:tab w:val="num" w:pos="1620"/>
        </w:tabs>
        <w:ind w:leftChars="600" w:left="1620" w:hangingChars="200" w:hanging="360"/>
      </w:pPr>
    </w:lvl>
  </w:abstractNum>
  <w:abstractNum w:abstractNumId="2">
    <w:nsid w:val="FFFFFF7E"/>
    <w:multiLevelType w:val="singleLevel"/>
    <w:tmpl w:val="0CE03824"/>
    <w:lvl w:ilvl="0">
      <w:start w:val="1"/>
      <w:numFmt w:val="decimal"/>
      <w:lvlText w:val="%1."/>
      <w:lvlJc w:val="left"/>
      <w:pPr>
        <w:tabs>
          <w:tab w:val="num" w:pos="1200"/>
        </w:tabs>
        <w:ind w:leftChars="400" w:left="1200" w:hangingChars="200" w:hanging="360"/>
      </w:pPr>
    </w:lvl>
  </w:abstractNum>
  <w:abstractNum w:abstractNumId="3">
    <w:nsid w:val="FFFFFF7F"/>
    <w:multiLevelType w:val="singleLevel"/>
    <w:tmpl w:val="291EF100"/>
    <w:lvl w:ilvl="0">
      <w:start w:val="1"/>
      <w:numFmt w:val="decimal"/>
      <w:lvlText w:val="%1."/>
      <w:lvlJc w:val="left"/>
      <w:pPr>
        <w:tabs>
          <w:tab w:val="num" w:pos="780"/>
        </w:tabs>
        <w:ind w:leftChars="200" w:left="780" w:hangingChars="200" w:hanging="360"/>
      </w:pPr>
    </w:lvl>
  </w:abstractNum>
  <w:abstractNum w:abstractNumId="4">
    <w:nsid w:val="FFFFFF80"/>
    <w:multiLevelType w:val="singleLevel"/>
    <w:tmpl w:val="B978CA0E"/>
    <w:lvl w:ilvl="0">
      <w:start w:val="1"/>
      <w:numFmt w:val="bullet"/>
      <w:lvlText w:val=""/>
      <w:lvlJc w:val="left"/>
      <w:pPr>
        <w:tabs>
          <w:tab w:val="num" w:pos="2040"/>
        </w:tabs>
        <w:ind w:leftChars="800" w:left="2040" w:hangingChars="200" w:hanging="360"/>
      </w:pPr>
      <w:rPr>
        <w:rFonts w:ascii="Wingdings" w:hAnsi="Wingdings" w:hint="default"/>
      </w:rPr>
    </w:lvl>
  </w:abstractNum>
  <w:abstractNum w:abstractNumId="5">
    <w:nsid w:val="FFFFFF81"/>
    <w:multiLevelType w:val="singleLevel"/>
    <w:tmpl w:val="CEE6DE2C"/>
    <w:lvl w:ilvl="0">
      <w:start w:val="1"/>
      <w:numFmt w:val="bullet"/>
      <w:lvlText w:val=""/>
      <w:lvlJc w:val="left"/>
      <w:pPr>
        <w:tabs>
          <w:tab w:val="num" w:pos="1620"/>
        </w:tabs>
        <w:ind w:leftChars="600" w:left="1620" w:hangingChars="200" w:hanging="360"/>
      </w:pPr>
      <w:rPr>
        <w:rFonts w:ascii="Wingdings" w:hAnsi="Wingdings" w:hint="default"/>
      </w:rPr>
    </w:lvl>
  </w:abstractNum>
  <w:abstractNum w:abstractNumId="6">
    <w:nsid w:val="FFFFFF82"/>
    <w:multiLevelType w:val="singleLevel"/>
    <w:tmpl w:val="52307FE6"/>
    <w:lvl w:ilvl="0">
      <w:start w:val="1"/>
      <w:numFmt w:val="bullet"/>
      <w:lvlText w:val=""/>
      <w:lvlJc w:val="left"/>
      <w:pPr>
        <w:tabs>
          <w:tab w:val="num" w:pos="1200"/>
        </w:tabs>
        <w:ind w:leftChars="400" w:left="1200" w:hangingChars="200" w:hanging="360"/>
      </w:pPr>
      <w:rPr>
        <w:rFonts w:ascii="Wingdings" w:hAnsi="Wingdings" w:hint="default"/>
      </w:rPr>
    </w:lvl>
  </w:abstractNum>
  <w:abstractNum w:abstractNumId="7">
    <w:nsid w:val="FFFFFF83"/>
    <w:multiLevelType w:val="singleLevel"/>
    <w:tmpl w:val="CE622282"/>
    <w:lvl w:ilvl="0">
      <w:start w:val="1"/>
      <w:numFmt w:val="bullet"/>
      <w:lvlText w:val=""/>
      <w:lvlJc w:val="left"/>
      <w:pPr>
        <w:tabs>
          <w:tab w:val="num" w:pos="780"/>
        </w:tabs>
        <w:ind w:leftChars="200" w:left="780" w:hangingChars="200" w:hanging="360"/>
      </w:pPr>
      <w:rPr>
        <w:rFonts w:ascii="Wingdings" w:hAnsi="Wingdings" w:hint="default"/>
      </w:rPr>
    </w:lvl>
  </w:abstractNum>
  <w:abstractNum w:abstractNumId="8">
    <w:nsid w:val="FFFFFF88"/>
    <w:multiLevelType w:val="singleLevel"/>
    <w:tmpl w:val="CA62ABEC"/>
    <w:lvl w:ilvl="0">
      <w:start w:val="1"/>
      <w:numFmt w:val="decimal"/>
      <w:lvlText w:val="%1."/>
      <w:lvlJc w:val="left"/>
      <w:pPr>
        <w:tabs>
          <w:tab w:val="num" w:pos="360"/>
        </w:tabs>
        <w:ind w:left="360" w:hangingChars="200" w:hanging="360"/>
      </w:pPr>
    </w:lvl>
  </w:abstractNum>
  <w:abstractNum w:abstractNumId="9">
    <w:nsid w:val="FFFFFF89"/>
    <w:multiLevelType w:val="singleLevel"/>
    <w:tmpl w:val="A09E33C0"/>
    <w:lvl w:ilvl="0">
      <w:start w:val="1"/>
      <w:numFmt w:val="bullet"/>
      <w:lvlText w:val=""/>
      <w:lvlJc w:val="left"/>
      <w:pPr>
        <w:tabs>
          <w:tab w:val="num" w:pos="360"/>
        </w:tabs>
        <w:ind w:left="360" w:hangingChars="20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evenAndOddHeaders/>
  <w:drawingGridHorizontalSpacing w:val="181"/>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GYyNWIxNjUxNTg5MTAyMmRhODhlNjJlOTYyMGM1MWUifQ=="/>
  </w:docVars>
  <w:rsids>
    <w:rsidRoot w:val="002D6C55"/>
    <w:rsid w:val="000051BA"/>
    <w:rsid w:val="00007DC9"/>
    <w:rsid w:val="00022FF2"/>
    <w:rsid w:val="000246CF"/>
    <w:rsid w:val="00026B55"/>
    <w:rsid w:val="000300E0"/>
    <w:rsid w:val="0004157A"/>
    <w:rsid w:val="00041639"/>
    <w:rsid w:val="00046FD0"/>
    <w:rsid w:val="00060A39"/>
    <w:rsid w:val="00060B3A"/>
    <w:rsid w:val="00061462"/>
    <w:rsid w:val="000658AA"/>
    <w:rsid w:val="00070A8B"/>
    <w:rsid w:val="000720A0"/>
    <w:rsid w:val="00072E51"/>
    <w:rsid w:val="000831A5"/>
    <w:rsid w:val="00092662"/>
    <w:rsid w:val="00093500"/>
    <w:rsid w:val="00094871"/>
    <w:rsid w:val="000A67EC"/>
    <w:rsid w:val="000B1F15"/>
    <w:rsid w:val="000B47FF"/>
    <w:rsid w:val="000C4793"/>
    <w:rsid w:val="000D7352"/>
    <w:rsid w:val="000E4EE9"/>
    <w:rsid w:val="000E5187"/>
    <w:rsid w:val="000E56CF"/>
    <w:rsid w:val="000E6D88"/>
    <w:rsid w:val="000F150B"/>
    <w:rsid w:val="000F2196"/>
    <w:rsid w:val="000F2D91"/>
    <w:rsid w:val="000F5EBA"/>
    <w:rsid w:val="00105524"/>
    <w:rsid w:val="00105EA6"/>
    <w:rsid w:val="001066EE"/>
    <w:rsid w:val="00106D59"/>
    <w:rsid w:val="001211C7"/>
    <w:rsid w:val="001252FD"/>
    <w:rsid w:val="00125415"/>
    <w:rsid w:val="00133F36"/>
    <w:rsid w:val="00141FB6"/>
    <w:rsid w:val="00156266"/>
    <w:rsid w:val="001614DD"/>
    <w:rsid w:val="001617A2"/>
    <w:rsid w:val="00162880"/>
    <w:rsid w:val="0016489F"/>
    <w:rsid w:val="0016665A"/>
    <w:rsid w:val="00170A71"/>
    <w:rsid w:val="001A7520"/>
    <w:rsid w:val="001B131A"/>
    <w:rsid w:val="001B153F"/>
    <w:rsid w:val="001B6523"/>
    <w:rsid w:val="001D4E14"/>
    <w:rsid w:val="001D5662"/>
    <w:rsid w:val="001E1AB1"/>
    <w:rsid w:val="002064F7"/>
    <w:rsid w:val="00206B2B"/>
    <w:rsid w:val="00215837"/>
    <w:rsid w:val="0021638E"/>
    <w:rsid w:val="002216B9"/>
    <w:rsid w:val="0023259F"/>
    <w:rsid w:val="00233C40"/>
    <w:rsid w:val="00233F94"/>
    <w:rsid w:val="00235183"/>
    <w:rsid w:val="00241E35"/>
    <w:rsid w:val="002428F9"/>
    <w:rsid w:val="00244712"/>
    <w:rsid w:val="00245BB3"/>
    <w:rsid w:val="00253813"/>
    <w:rsid w:val="00254E9D"/>
    <w:rsid w:val="0025742F"/>
    <w:rsid w:val="002671B1"/>
    <w:rsid w:val="00271C80"/>
    <w:rsid w:val="00277543"/>
    <w:rsid w:val="00281EEF"/>
    <w:rsid w:val="0028710F"/>
    <w:rsid w:val="002A0E27"/>
    <w:rsid w:val="002A0E47"/>
    <w:rsid w:val="002A1765"/>
    <w:rsid w:val="002A1BB0"/>
    <w:rsid w:val="002A7E25"/>
    <w:rsid w:val="002B5E8C"/>
    <w:rsid w:val="002C11D2"/>
    <w:rsid w:val="002D6C55"/>
    <w:rsid w:val="002E52C2"/>
    <w:rsid w:val="002E71C4"/>
    <w:rsid w:val="0030431D"/>
    <w:rsid w:val="00311EB0"/>
    <w:rsid w:val="00313AEE"/>
    <w:rsid w:val="0031621E"/>
    <w:rsid w:val="00327650"/>
    <w:rsid w:val="00334544"/>
    <w:rsid w:val="003370AB"/>
    <w:rsid w:val="00337E4D"/>
    <w:rsid w:val="003407E4"/>
    <w:rsid w:val="00340D0A"/>
    <w:rsid w:val="00342C41"/>
    <w:rsid w:val="00344576"/>
    <w:rsid w:val="00356973"/>
    <w:rsid w:val="00356AAC"/>
    <w:rsid w:val="00357579"/>
    <w:rsid w:val="00357968"/>
    <w:rsid w:val="0036275A"/>
    <w:rsid w:val="00374592"/>
    <w:rsid w:val="00384827"/>
    <w:rsid w:val="003854B1"/>
    <w:rsid w:val="003871CA"/>
    <w:rsid w:val="003902DE"/>
    <w:rsid w:val="00390825"/>
    <w:rsid w:val="0039278B"/>
    <w:rsid w:val="00394561"/>
    <w:rsid w:val="00395336"/>
    <w:rsid w:val="003B50D6"/>
    <w:rsid w:val="003C0536"/>
    <w:rsid w:val="003D7E4C"/>
    <w:rsid w:val="003E737D"/>
    <w:rsid w:val="003F534F"/>
    <w:rsid w:val="003F661F"/>
    <w:rsid w:val="00403942"/>
    <w:rsid w:val="00422EA0"/>
    <w:rsid w:val="00424C9C"/>
    <w:rsid w:val="00431DB2"/>
    <w:rsid w:val="00432CA7"/>
    <w:rsid w:val="004358E6"/>
    <w:rsid w:val="00440B14"/>
    <w:rsid w:val="00447D9F"/>
    <w:rsid w:val="00452345"/>
    <w:rsid w:val="00454D12"/>
    <w:rsid w:val="00463561"/>
    <w:rsid w:val="004724D5"/>
    <w:rsid w:val="00473BA4"/>
    <w:rsid w:val="004745A3"/>
    <w:rsid w:val="0048272B"/>
    <w:rsid w:val="00493ABE"/>
    <w:rsid w:val="004A69A0"/>
    <w:rsid w:val="004B0465"/>
    <w:rsid w:val="004B1A57"/>
    <w:rsid w:val="004B2619"/>
    <w:rsid w:val="004B7D8C"/>
    <w:rsid w:val="004C1EAA"/>
    <w:rsid w:val="004C4DF7"/>
    <w:rsid w:val="004C569C"/>
    <w:rsid w:val="004F5158"/>
    <w:rsid w:val="00506C84"/>
    <w:rsid w:val="005142A1"/>
    <w:rsid w:val="00517CAB"/>
    <w:rsid w:val="00536EBF"/>
    <w:rsid w:val="0053713F"/>
    <w:rsid w:val="005433C2"/>
    <w:rsid w:val="005502F2"/>
    <w:rsid w:val="00562083"/>
    <w:rsid w:val="0057423C"/>
    <w:rsid w:val="0058350A"/>
    <w:rsid w:val="00586344"/>
    <w:rsid w:val="00594376"/>
    <w:rsid w:val="005A3B1C"/>
    <w:rsid w:val="005A56F6"/>
    <w:rsid w:val="005A6C12"/>
    <w:rsid w:val="005C1972"/>
    <w:rsid w:val="005D3469"/>
    <w:rsid w:val="005E1766"/>
    <w:rsid w:val="005E2A4A"/>
    <w:rsid w:val="005E48B7"/>
    <w:rsid w:val="005F1B3D"/>
    <w:rsid w:val="00602816"/>
    <w:rsid w:val="00604ACB"/>
    <w:rsid w:val="00606C5B"/>
    <w:rsid w:val="00612F03"/>
    <w:rsid w:val="006171AA"/>
    <w:rsid w:val="00617304"/>
    <w:rsid w:val="006178C3"/>
    <w:rsid w:val="00621BAF"/>
    <w:rsid w:val="0062410E"/>
    <w:rsid w:val="00626CE8"/>
    <w:rsid w:val="00661621"/>
    <w:rsid w:val="00663037"/>
    <w:rsid w:val="006711F4"/>
    <w:rsid w:val="006744EA"/>
    <w:rsid w:val="0068140B"/>
    <w:rsid w:val="00685825"/>
    <w:rsid w:val="0069347C"/>
    <w:rsid w:val="00693DBE"/>
    <w:rsid w:val="006975AB"/>
    <w:rsid w:val="00697774"/>
    <w:rsid w:val="006B086F"/>
    <w:rsid w:val="006B6CBF"/>
    <w:rsid w:val="006C7C53"/>
    <w:rsid w:val="006D2483"/>
    <w:rsid w:val="006D33CA"/>
    <w:rsid w:val="006E1737"/>
    <w:rsid w:val="006E1FF4"/>
    <w:rsid w:val="006E7630"/>
    <w:rsid w:val="006F0A7E"/>
    <w:rsid w:val="006F6FC3"/>
    <w:rsid w:val="006F7D77"/>
    <w:rsid w:val="00715180"/>
    <w:rsid w:val="00720A73"/>
    <w:rsid w:val="00720CAF"/>
    <w:rsid w:val="00724377"/>
    <w:rsid w:val="007276B4"/>
    <w:rsid w:val="00727EEC"/>
    <w:rsid w:val="00733E0F"/>
    <w:rsid w:val="00745D25"/>
    <w:rsid w:val="007506EE"/>
    <w:rsid w:val="0075447F"/>
    <w:rsid w:val="00754A2D"/>
    <w:rsid w:val="007643CE"/>
    <w:rsid w:val="00766157"/>
    <w:rsid w:val="00767F68"/>
    <w:rsid w:val="0077490A"/>
    <w:rsid w:val="007775EF"/>
    <w:rsid w:val="00787E3C"/>
    <w:rsid w:val="007A51E0"/>
    <w:rsid w:val="007A6544"/>
    <w:rsid w:val="007A7FD3"/>
    <w:rsid w:val="007B2410"/>
    <w:rsid w:val="007C01D1"/>
    <w:rsid w:val="007C5705"/>
    <w:rsid w:val="007D13B8"/>
    <w:rsid w:val="007D77CE"/>
    <w:rsid w:val="00802CDC"/>
    <w:rsid w:val="00805E1D"/>
    <w:rsid w:val="00813FEC"/>
    <w:rsid w:val="00814E29"/>
    <w:rsid w:val="00823C1E"/>
    <w:rsid w:val="008250BC"/>
    <w:rsid w:val="00826D77"/>
    <w:rsid w:val="00827301"/>
    <w:rsid w:val="0083338D"/>
    <w:rsid w:val="00855283"/>
    <w:rsid w:val="008564D1"/>
    <w:rsid w:val="008701AB"/>
    <w:rsid w:val="0087139A"/>
    <w:rsid w:val="008760A5"/>
    <w:rsid w:val="00877798"/>
    <w:rsid w:val="008802DB"/>
    <w:rsid w:val="00881967"/>
    <w:rsid w:val="00885F48"/>
    <w:rsid w:val="00890F76"/>
    <w:rsid w:val="0089274E"/>
    <w:rsid w:val="008979B8"/>
    <w:rsid w:val="008A08FA"/>
    <w:rsid w:val="008C0131"/>
    <w:rsid w:val="008C3B45"/>
    <w:rsid w:val="008E70E5"/>
    <w:rsid w:val="008F50DB"/>
    <w:rsid w:val="008F5238"/>
    <w:rsid w:val="008F7723"/>
    <w:rsid w:val="00904BC8"/>
    <w:rsid w:val="00911248"/>
    <w:rsid w:val="00913A4E"/>
    <w:rsid w:val="00920305"/>
    <w:rsid w:val="00925F75"/>
    <w:rsid w:val="00971108"/>
    <w:rsid w:val="0097410F"/>
    <w:rsid w:val="00974280"/>
    <w:rsid w:val="00974393"/>
    <w:rsid w:val="0097704C"/>
    <w:rsid w:val="00986E71"/>
    <w:rsid w:val="00992211"/>
    <w:rsid w:val="009942EB"/>
    <w:rsid w:val="009A1862"/>
    <w:rsid w:val="009A78E1"/>
    <w:rsid w:val="009A7FCF"/>
    <w:rsid w:val="009B548C"/>
    <w:rsid w:val="009D18B6"/>
    <w:rsid w:val="009E6F62"/>
    <w:rsid w:val="009E7F86"/>
    <w:rsid w:val="009F1030"/>
    <w:rsid w:val="009F1B6D"/>
    <w:rsid w:val="00A02039"/>
    <w:rsid w:val="00A04BD7"/>
    <w:rsid w:val="00A20EDD"/>
    <w:rsid w:val="00A212C7"/>
    <w:rsid w:val="00A23406"/>
    <w:rsid w:val="00A27EDD"/>
    <w:rsid w:val="00A35940"/>
    <w:rsid w:val="00A35D41"/>
    <w:rsid w:val="00A36264"/>
    <w:rsid w:val="00A40953"/>
    <w:rsid w:val="00A459E3"/>
    <w:rsid w:val="00A571FE"/>
    <w:rsid w:val="00A636AF"/>
    <w:rsid w:val="00A672F5"/>
    <w:rsid w:val="00A73A28"/>
    <w:rsid w:val="00A773EC"/>
    <w:rsid w:val="00AA03DB"/>
    <w:rsid w:val="00AA164E"/>
    <w:rsid w:val="00AA3B2D"/>
    <w:rsid w:val="00AA7268"/>
    <w:rsid w:val="00AB0D6D"/>
    <w:rsid w:val="00AB68DD"/>
    <w:rsid w:val="00AC2B0B"/>
    <w:rsid w:val="00AC4F2A"/>
    <w:rsid w:val="00AD35D8"/>
    <w:rsid w:val="00AD6BB8"/>
    <w:rsid w:val="00AE3744"/>
    <w:rsid w:val="00AF6D19"/>
    <w:rsid w:val="00B018B8"/>
    <w:rsid w:val="00B1436F"/>
    <w:rsid w:val="00B17FDC"/>
    <w:rsid w:val="00B22148"/>
    <w:rsid w:val="00B25C4D"/>
    <w:rsid w:val="00B32A99"/>
    <w:rsid w:val="00B364E6"/>
    <w:rsid w:val="00B47C30"/>
    <w:rsid w:val="00B47F03"/>
    <w:rsid w:val="00B62010"/>
    <w:rsid w:val="00B6417D"/>
    <w:rsid w:val="00B712AC"/>
    <w:rsid w:val="00B82084"/>
    <w:rsid w:val="00B95E1A"/>
    <w:rsid w:val="00BA18F5"/>
    <w:rsid w:val="00BB4808"/>
    <w:rsid w:val="00BC4000"/>
    <w:rsid w:val="00BD11FC"/>
    <w:rsid w:val="00BD62E5"/>
    <w:rsid w:val="00BD715F"/>
    <w:rsid w:val="00BD7A11"/>
    <w:rsid w:val="00BE0134"/>
    <w:rsid w:val="00BE421E"/>
    <w:rsid w:val="00BE428E"/>
    <w:rsid w:val="00BE6A42"/>
    <w:rsid w:val="00BF009A"/>
    <w:rsid w:val="00BF2167"/>
    <w:rsid w:val="00BF4E21"/>
    <w:rsid w:val="00BF6AB5"/>
    <w:rsid w:val="00C03182"/>
    <w:rsid w:val="00C10C97"/>
    <w:rsid w:val="00C14022"/>
    <w:rsid w:val="00C41CE2"/>
    <w:rsid w:val="00C452E4"/>
    <w:rsid w:val="00C45606"/>
    <w:rsid w:val="00C53D36"/>
    <w:rsid w:val="00C57E0D"/>
    <w:rsid w:val="00C636EE"/>
    <w:rsid w:val="00C7181C"/>
    <w:rsid w:val="00C73C73"/>
    <w:rsid w:val="00C748B2"/>
    <w:rsid w:val="00C75F27"/>
    <w:rsid w:val="00C76A21"/>
    <w:rsid w:val="00C85BE4"/>
    <w:rsid w:val="00CA3B61"/>
    <w:rsid w:val="00CB05CD"/>
    <w:rsid w:val="00CB268F"/>
    <w:rsid w:val="00CD046D"/>
    <w:rsid w:val="00CD15F8"/>
    <w:rsid w:val="00CD207F"/>
    <w:rsid w:val="00CF0128"/>
    <w:rsid w:val="00CF0812"/>
    <w:rsid w:val="00CF245A"/>
    <w:rsid w:val="00CF41FE"/>
    <w:rsid w:val="00CF4321"/>
    <w:rsid w:val="00CF5E94"/>
    <w:rsid w:val="00CF7BE1"/>
    <w:rsid w:val="00D0443A"/>
    <w:rsid w:val="00D05430"/>
    <w:rsid w:val="00D07F94"/>
    <w:rsid w:val="00D16B69"/>
    <w:rsid w:val="00D21DEB"/>
    <w:rsid w:val="00D3514F"/>
    <w:rsid w:val="00D42B95"/>
    <w:rsid w:val="00D5052C"/>
    <w:rsid w:val="00D6266A"/>
    <w:rsid w:val="00D91F48"/>
    <w:rsid w:val="00D937CE"/>
    <w:rsid w:val="00D97443"/>
    <w:rsid w:val="00DA1E5C"/>
    <w:rsid w:val="00DA5491"/>
    <w:rsid w:val="00DB1764"/>
    <w:rsid w:val="00DB2440"/>
    <w:rsid w:val="00DB3C8A"/>
    <w:rsid w:val="00DB5F18"/>
    <w:rsid w:val="00DC5F89"/>
    <w:rsid w:val="00DD0C51"/>
    <w:rsid w:val="00DD313D"/>
    <w:rsid w:val="00DD7AE6"/>
    <w:rsid w:val="00DE69D1"/>
    <w:rsid w:val="00E06E17"/>
    <w:rsid w:val="00E11578"/>
    <w:rsid w:val="00E20502"/>
    <w:rsid w:val="00E2376E"/>
    <w:rsid w:val="00E258F2"/>
    <w:rsid w:val="00E25C09"/>
    <w:rsid w:val="00E33AF2"/>
    <w:rsid w:val="00E35402"/>
    <w:rsid w:val="00E379EC"/>
    <w:rsid w:val="00E42D97"/>
    <w:rsid w:val="00E42DA2"/>
    <w:rsid w:val="00E47E0D"/>
    <w:rsid w:val="00E526C3"/>
    <w:rsid w:val="00E56A87"/>
    <w:rsid w:val="00E56E52"/>
    <w:rsid w:val="00E854B0"/>
    <w:rsid w:val="00E9403C"/>
    <w:rsid w:val="00E956E5"/>
    <w:rsid w:val="00E95DF8"/>
    <w:rsid w:val="00E97496"/>
    <w:rsid w:val="00EB642C"/>
    <w:rsid w:val="00EB67B5"/>
    <w:rsid w:val="00EB6A82"/>
    <w:rsid w:val="00EB79DB"/>
    <w:rsid w:val="00EE1F86"/>
    <w:rsid w:val="00EE4190"/>
    <w:rsid w:val="00EF1ADC"/>
    <w:rsid w:val="00F01156"/>
    <w:rsid w:val="00F11389"/>
    <w:rsid w:val="00F11CAA"/>
    <w:rsid w:val="00F14865"/>
    <w:rsid w:val="00F3114F"/>
    <w:rsid w:val="00F3147A"/>
    <w:rsid w:val="00F31FF1"/>
    <w:rsid w:val="00F347B6"/>
    <w:rsid w:val="00F37571"/>
    <w:rsid w:val="00F44A15"/>
    <w:rsid w:val="00F46B3C"/>
    <w:rsid w:val="00F4779A"/>
    <w:rsid w:val="00F55E2F"/>
    <w:rsid w:val="00F64A2C"/>
    <w:rsid w:val="00F64D94"/>
    <w:rsid w:val="00F70562"/>
    <w:rsid w:val="00F744B5"/>
    <w:rsid w:val="00F74986"/>
    <w:rsid w:val="00F845F5"/>
    <w:rsid w:val="00F84788"/>
    <w:rsid w:val="00F865EA"/>
    <w:rsid w:val="00F90AF4"/>
    <w:rsid w:val="00F92C7B"/>
    <w:rsid w:val="00FA21BD"/>
    <w:rsid w:val="00FB3DE0"/>
    <w:rsid w:val="00FB46C7"/>
    <w:rsid w:val="00FC2B5F"/>
    <w:rsid w:val="00FD0009"/>
    <w:rsid w:val="00FD51B5"/>
    <w:rsid w:val="00FF402A"/>
    <w:rsid w:val="00FF690A"/>
    <w:rsid w:val="220D29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Plain Text" w:uiPriority="99"/>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rPr>
      <w:rFonts w:ascii="宋体" w:hAnsi="Courier New" w:cs="Courier New"/>
      <w:szCs w:val="21"/>
    </w:rPr>
  </w:style>
  <w:style w:type="paragraph" w:styleId="a4">
    <w:name w:val="Balloon Text"/>
    <w:basedOn w:val="a"/>
    <w:link w:val="Char0"/>
    <w:rPr>
      <w:sz w:val="18"/>
      <w:szCs w:val="18"/>
    </w:rPr>
  </w:style>
  <w:style w:type="paragraph" w:styleId="a5">
    <w:name w:val="footer"/>
    <w:basedOn w:val="a"/>
    <w:pPr>
      <w:tabs>
        <w:tab w:val="center" w:pos="4153"/>
        <w:tab w:val="right" w:pos="8306"/>
      </w:tabs>
      <w:snapToGrid w:val="0"/>
      <w:jc w:val="left"/>
    </w:pPr>
    <w:rPr>
      <w:sz w:val="18"/>
      <w:szCs w:val="18"/>
    </w:rPr>
  </w:style>
  <w:style w:type="paragraph" w:styleId="a6">
    <w:name w:val="header"/>
    <w:basedOn w:val="a"/>
    <w:link w:val="Char1"/>
    <w:rsid w:val="00697774"/>
    <w:pPr>
      <w:tabs>
        <w:tab w:val="center" w:pos="4153"/>
        <w:tab w:val="right" w:pos="8306"/>
      </w:tabs>
      <w:snapToGrid w:val="0"/>
      <w:jc w:val="center"/>
    </w:pPr>
    <w:rPr>
      <w:sz w:val="18"/>
      <w:szCs w:val="18"/>
    </w:rPr>
  </w:style>
  <w:style w:type="character" w:styleId="a7">
    <w:name w:val="page number"/>
    <w:basedOn w:val="a0"/>
  </w:style>
  <w:style w:type="paragraph" w:customStyle="1" w:styleId="ParaCharCharCharCharCharCharChar">
    <w:name w:val="默认段落字体 Para Char Char Char Char Char Char Char"/>
    <w:basedOn w:val="a"/>
  </w:style>
  <w:style w:type="character" w:customStyle="1" w:styleId="Char1">
    <w:name w:val="页眉 Char"/>
    <w:basedOn w:val="a0"/>
    <w:link w:val="a6"/>
    <w:qFormat/>
    <w:rsid w:val="00697774"/>
    <w:rPr>
      <w:kern w:val="2"/>
      <w:sz w:val="18"/>
      <w:szCs w:val="18"/>
    </w:rPr>
  </w:style>
  <w:style w:type="character" w:customStyle="1" w:styleId="Char0">
    <w:name w:val="批注框文本 Char"/>
    <w:basedOn w:val="a0"/>
    <w:link w:val="a4"/>
    <w:qFormat/>
    <w:rPr>
      <w:kern w:val="2"/>
      <w:sz w:val="18"/>
      <w:szCs w:val="18"/>
    </w:rPr>
  </w:style>
  <w:style w:type="character" w:customStyle="1" w:styleId="Char">
    <w:name w:val="纯文本 Char"/>
    <w:basedOn w:val="a0"/>
    <w:link w:val="a3"/>
    <w:uiPriority w:val="99"/>
    <w:qFormat/>
    <w:rPr>
      <w:rFonts w:ascii="宋体" w:hAnsi="Courier New" w:cs="Courier New"/>
      <w:kern w:val="2"/>
      <w:sz w:val="21"/>
      <w:szCs w:val="21"/>
    </w:rPr>
  </w:style>
  <w:style w:type="paragraph" w:customStyle="1" w:styleId="a8">
    <w:name w:val="法 标题"/>
    <w:qFormat/>
    <w:rsid w:val="00E20502"/>
    <w:pPr>
      <w:widowControl w:val="0"/>
      <w:spacing w:line="560" w:lineRule="exact"/>
      <w:jc w:val="center"/>
    </w:pPr>
    <w:rPr>
      <w:rFonts w:ascii="仿宋_GB2312" w:hAnsi="仿宋_GB2312" w:cs="仿宋_GB2312"/>
      <w:kern w:val="2"/>
      <w:sz w:val="44"/>
      <w:szCs w:val="32"/>
    </w:rPr>
  </w:style>
  <w:style w:type="paragraph" w:customStyle="1" w:styleId="a9">
    <w:name w:val="法 法释"/>
    <w:qFormat/>
    <w:rsid w:val="00E20502"/>
    <w:pPr>
      <w:widowControl w:val="0"/>
      <w:spacing w:line="560" w:lineRule="exact"/>
      <w:jc w:val="center"/>
    </w:pPr>
    <w:rPr>
      <w:rFonts w:ascii="楷体_GB2312" w:eastAsia="楷体_GB2312" w:hAnsi="宋体" w:cs="宋体"/>
      <w:kern w:val="2"/>
      <w:sz w:val="32"/>
      <w:szCs w:val="30"/>
    </w:rPr>
  </w:style>
  <w:style w:type="paragraph" w:customStyle="1" w:styleId="aa">
    <w:name w:val="法 法释后"/>
    <w:qFormat/>
    <w:rsid w:val="00E20502"/>
    <w:pPr>
      <w:widowControl w:val="0"/>
      <w:spacing w:line="560" w:lineRule="exact"/>
      <w:ind w:leftChars="300" w:left="300" w:rightChars="300" w:right="300"/>
      <w:jc w:val="both"/>
    </w:pPr>
    <w:rPr>
      <w:rFonts w:ascii="楷体_GB2312" w:eastAsia="楷体_GB2312" w:hAnsi="楷体" w:cs="宋体"/>
      <w:kern w:val="2"/>
      <w:sz w:val="32"/>
      <w:szCs w:val="30"/>
    </w:rPr>
  </w:style>
  <w:style w:type="paragraph" w:customStyle="1" w:styleId="ab">
    <w:name w:val="法 正文"/>
    <w:qFormat/>
    <w:rsid w:val="00E20502"/>
    <w:pPr>
      <w:widowControl w:val="0"/>
      <w:spacing w:line="560" w:lineRule="exact"/>
      <w:ind w:firstLineChars="200" w:firstLine="200"/>
      <w:jc w:val="both"/>
    </w:pPr>
    <w:rPr>
      <w:rFonts w:ascii="仿宋_GB2312" w:eastAsia="仿宋_GB2312" w:hAnsi="宋体" w:cs="宋体"/>
      <w:kern w:val="2"/>
      <w:sz w:val="32"/>
      <w:szCs w:val="30"/>
    </w:rPr>
  </w:style>
  <w:style w:type="character" w:customStyle="1" w:styleId="ac">
    <w:name w:val="黑体　三号"/>
    <w:basedOn w:val="a0"/>
    <w:uiPriority w:val="1"/>
    <w:qFormat/>
    <w:rsid w:val="00E20502"/>
    <w:rPr>
      <w:rFonts w:eastAsia="黑体"/>
      <w:sz w:val="32"/>
    </w:rPr>
  </w:style>
  <w:style w:type="character" w:styleId="ad">
    <w:name w:val="Subtle Emphasis"/>
    <w:basedOn w:val="a0"/>
    <w:uiPriority w:val="19"/>
    <w:qFormat/>
    <w:rsid w:val="00DD313D"/>
    <w:rPr>
      <w:i/>
      <w:iCs/>
      <w:color w:val="808080" w:themeColor="text1" w:themeTint="7F"/>
    </w:rPr>
  </w:style>
  <w:style w:type="paragraph" w:customStyle="1" w:styleId="ae">
    <w:name w:val="法 页码 奇"/>
    <w:qFormat/>
    <w:rsid w:val="00A73A28"/>
    <w:pPr>
      <w:widowControl w:val="0"/>
      <w:spacing w:line="560" w:lineRule="exact"/>
      <w:ind w:leftChars="-180" w:left="-180"/>
    </w:pPr>
    <w:rPr>
      <w:rFonts w:ascii="宋体"/>
      <w:kern w:val="2"/>
      <w:sz w:val="28"/>
      <w:szCs w:val="18"/>
    </w:rPr>
  </w:style>
  <w:style w:type="paragraph" w:customStyle="1" w:styleId="af">
    <w:name w:val="法 页码 偶"/>
    <w:qFormat/>
    <w:rsid w:val="00A73A28"/>
    <w:pPr>
      <w:widowControl w:val="0"/>
      <w:spacing w:line="560" w:lineRule="exact"/>
      <w:ind w:rightChars="-180" w:right="-180"/>
      <w:jc w:val="right"/>
    </w:pPr>
    <w:rPr>
      <w:rFonts w:ascii="宋体"/>
      <w:kern w:val="2"/>
      <w:sz w:val="2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73E9E-EB0A-49F4-8CDE-7CA16AE5C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12</Pages>
  <Words>829</Words>
  <Characters>4730</Characters>
  <Application>Microsoft Office Word</Application>
  <DocSecurity>0</DocSecurity>
  <Lines>39</Lines>
  <Paragraphs>11</Paragraphs>
  <ScaleCrop>false</ScaleCrop>
  <Company>Lenovo (Beijing) Limited</Company>
  <LinksUpToDate>false</LinksUpToDate>
  <CharactersWithSpaces>5548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dc:creator>Lenovo User</dc:creator>
  <cp:lastModifiedBy>Ren</cp:lastModifiedBy>
  <cp:revision>23</cp:revision>
  <cp:lastPrinted>2014-04-03T09:04:00Z</cp:lastPrinted>
  <dcterms:created xsi:type="dcterms:W3CDTF">2022-02-25T07:34:00Z</dcterms:created>
  <dcterms:modified xsi:type="dcterms:W3CDTF">2022-07-05T02:47:00Z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0B124BB87CA643B9987FA8BC7673C54D</vt:lpwstr>
  </property>
</Properties>
</file>