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28B1" w:rsidRPr="007D4275" w:rsidRDefault="005928B1" w:rsidP="007D4275">
      <w:pPr>
        <w:pStyle w:val="ab"/>
        <w:ind w:firstLine="640"/>
      </w:pPr>
    </w:p>
    <w:p w:rsidR="005928B1" w:rsidRPr="007D4275" w:rsidRDefault="005928B1" w:rsidP="007D4275">
      <w:pPr>
        <w:pStyle w:val="ab"/>
        <w:ind w:firstLine="640"/>
      </w:pPr>
    </w:p>
    <w:p w:rsidR="005928B1" w:rsidRPr="007D4275" w:rsidRDefault="00F745A1" w:rsidP="007D4275">
      <w:pPr>
        <w:pStyle w:val="a8"/>
      </w:pPr>
      <w:r w:rsidRPr="007D4275">
        <w:rPr>
          <w:rFonts w:hint="eastAsia"/>
        </w:rPr>
        <w:t>最高人民法院</w:t>
      </w:r>
    </w:p>
    <w:p w:rsidR="005928B1" w:rsidRPr="007D4275" w:rsidRDefault="00F745A1" w:rsidP="007D4275">
      <w:pPr>
        <w:pStyle w:val="a8"/>
      </w:pPr>
      <w:r w:rsidRPr="007D4275">
        <w:rPr>
          <w:rFonts w:hint="eastAsia"/>
        </w:rPr>
        <w:t>关于审理涉执行司法赔偿案件</w:t>
      </w:r>
    </w:p>
    <w:p w:rsidR="005928B1" w:rsidRDefault="00F745A1" w:rsidP="007D4275">
      <w:pPr>
        <w:pStyle w:val="a8"/>
      </w:pPr>
      <w:r w:rsidRPr="007D4275">
        <w:rPr>
          <w:rFonts w:hint="eastAsia"/>
        </w:rPr>
        <w:t>适用法律若干问题的解释</w:t>
      </w:r>
    </w:p>
    <w:p w:rsidR="007D4275" w:rsidRPr="007D4275" w:rsidRDefault="007D4275" w:rsidP="007D4275">
      <w:pPr>
        <w:pStyle w:val="ab"/>
        <w:ind w:firstLine="640"/>
      </w:pPr>
    </w:p>
    <w:p w:rsidR="007D4275" w:rsidRPr="007D4275" w:rsidRDefault="007D4275" w:rsidP="007D4275">
      <w:pPr>
        <w:pStyle w:val="a9"/>
      </w:pPr>
      <w:r w:rsidRPr="007D4275">
        <w:rPr>
          <w:rFonts w:hint="eastAsia"/>
        </w:rPr>
        <w:t>法释〔2022〕3号</w:t>
      </w:r>
    </w:p>
    <w:p w:rsidR="007D4275" w:rsidRPr="007D4275" w:rsidRDefault="007D4275" w:rsidP="007D4275">
      <w:pPr>
        <w:pStyle w:val="ab"/>
        <w:ind w:firstLine="640"/>
      </w:pPr>
    </w:p>
    <w:p w:rsidR="005928B1" w:rsidRPr="007D4275" w:rsidRDefault="00F745A1" w:rsidP="007D4275">
      <w:pPr>
        <w:pStyle w:val="aa"/>
        <w:ind w:left="630" w:right="630"/>
      </w:pPr>
      <w:r w:rsidRPr="007D4275">
        <w:rPr>
          <w:rFonts w:hint="eastAsia"/>
        </w:rPr>
        <w:t>（2021年12月20日最高人民法院审判委员会第1857次会议通过，自2022年3月1日起施行）</w:t>
      </w:r>
    </w:p>
    <w:p w:rsidR="005928B1" w:rsidRPr="007D4275" w:rsidRDefault="005928B1" w:rsidP="007D4275">
      <w:pPr>
        <w:pStyle w:val="ab"/>
        <w:ind w:firstLine="640"/>
      </w:pPr>
    </w:p>
    <w:p w:rsidR="005928B1" w:rsidRDefault="00F745A1" w:rsidP="007D4275">
      <w:pPr>
        <w:pStyle w:val="ab"/>
        <w:ind w:firstLine="640"/>
      </w:pPr>
      <w:r>
        <w:rPr>
          <w:rFonts w:hint="eastAsia"/>
        </w:rPr>
        <w:t>为正确审理涉执行司法赔偿案件，保障公民、法人和其他组织的合法权益，根据《中华人民共和国国家赔偿法》等法律规定，结合人民法院国家赔偿审判和执行工作实际，制定本解释。</w:t>
      </w:r>
    </w:p>
    <w:p w:rsidR="005928B1" w:rsidRDefault="00F745A1" w:rsidP="007D4275">
      <w:pPr>
        <w:pStyle w:val="ab"/>
        <w:ind w:firstLine="640"/>
      </w:pPr>
      <w:r w:rsidRPr="007D4275">
        <w:rPr>
          <w:rStyle w:val="ac"/>
          <w:rFonts w:hint="eastAsia"/>
        </w:rPr>
        <w:t>第一条</w:t>
      </w:r>
      <w:r w:rsidR="007D4275" w:rsidRPr="007D4275">
        <w:rPr>
          <w:rStyle w:val="ac"/>
          <w:rFonts w:hint="eastAsia"/>
        </w:rPr>
        <w:t xml:space="preserve">　</w:t>
      </w:r>
      <w:r>
        <w:rPr>
          <w:rFonts w:hint="eastAsia"/>
        </w:rPr>
        <w:t>人民法院在执行判决、裁定及其他生效法律文书过程中，错误采取财产调查、控制、处置、交付、分配等执行措施或者罚款、拘留等强制措施，侵犯公民、法人和其他组织合法权益并造成损害，受害人依照国家赔偿法第三十八条规定申请赔偿的，适用本解释。</w:t>
      </w:r>
    </w:p>
    <w:p w:rsidR="005928B1" w:rsidRDefault="00F745A1" w:rsidP="007D4275">
      <w:pPr>
        <w:pStyle w:val="ab"/>
        <w:ind w:firstLine="640"/>
      </w:pPr>
      <w:r w:rsidRPr="007D4275">
        <w:rPr>
          <w:rStyle w:val="ac"/>
          <w:rFonts w:hint="eastAsia"/>
        </w:rPr>
        <w:t>第二条</w:t>
      </w:r>
      <w:r w:rsidR="007D4275" w:rsidRPr="007D4275">
        <w:rPr>
          <w:rStyle w:val="ac"/>
          <w:rFonts w:hint="eastAsia"/>
        </w:rPr>
        <w:t xml:space="preserve">　</w:t>
      </w:r>
      <w:r>
        <w:rPr>
          <w:rFonts w:hint="eastAsia"/>
        </w:rPr>
        <w:t>公民、法人和其他组织认为有下列错误执行行为造成损害申请赔偿的，人民法院应当依法受理：</w:t>
      </w:r>
    </w:p>
    <w:p w:rsidR="005928B1" w:rsidRDefault="00F745A1" w:rsidP="007D4275">
      <w:pPr>
        <w:pStyle w:val="ab"/>
        <w:ind w:firstLine="640"/>
      </w:pPr>
      <w:r>
        <w:rPr>
          <w:rFonts w:hint="eastAsia"/>
        </w:rPr>
        <w:t>（一）执行未生效法律文书，或者明显超出生效法律文书确</w:t>
      </w:r>
      <w:r>
        <w:rPr>
          <w:rFonts w:hint="eastAsia"/>
        </w:rPr>
        <w:lastRenderedPageBreak/>
        <w:t>定的数额和范围执行的；</w:t>
      </w:r>
    </w:p>
    <w:p w:rsidR="005928B1" w:rsidRDefault="00F745A1" w:rsidP="007D4275">
      <w:pPr>
        <w:pStyle w:val="ab"/>
        <w:ind w:firstLine="640"/>
      </w:pPr>
      <w:r>
        <w:rPr>
          <w:rFonts w:hint="eastAsia"/>
        </w:rPr>
        <w:t>（二）发现被执行人有可供执行的财产，但故意拖延执行、不执行，或者应当依法恢复执行而不恢复的；</w:t>
      </w:r>
    </w:p>
    <w:p w:rsidR="005928B1" w:rsidRDefault="00F745A1" w:rsidP="007D4275">
      <w:pPr>
        <w:pStyle w:val="ab"/>
        <w:ind w:firstLine="640"/>
      </w:pPr>
      <w:r>
        <w:rPr>
          <w:rFonts w:hint="eastAsia"/>
        </w:rPr>
        <w:t>（三）违法执行案外人财产，或者违法将案件执行款物交付给其他当事人、案外人的；</w:t>
      </w:r>
    </w:p>
    <w:p w:rsidR="005928B1" w:rsidRDefault="00F745A1" w:rsidP="007D4275">
      <w:pPr>
        <w:pStyle w:val="ab"/>
        <w:ind w:firstLine="640"/>
      </w:pPr>
      <w:r>
        <w:rPr>
          <w:rFonts w:hint="eastAsia"/>
        </w:rPr>
        <w:t>（四）对抵押、质押、留置、保留所有权等财产采取执行措施，未依法保护上述权利人优先受偿权等合法权益的；</w:t>
      </w:r>
    </w:p>
    <w:p w:rsidR="005928B1" w:rsidRDefault="00F745A1" w:rsidP="007D4275">
      <w:pPr>
        <w:pStyle w:val="ab"/>
        <w:ind w:firstLine="640"/>
      </w:pPr>
      <w:r>
        <w:rPr>
          <w:rFonts w:hint="eastAsia"/>
        </w:rPr>
        <w:t>（五）对其他人民法院已经依法采取保全或者执行措施的财产违法执行的；</w:t>
      </w:r>
    </w:p>
    <w:p w:rsidR="005928B1" w:rsidRDefault="00F745A1" w:rsidP="007D4275">
      <w:pPr>
        <w:pStyle w:val="ab"/>
        <w:ind w:firstLine="640"/>
      </w:pPr>
      <w:r>
        <w:rPr>
          <w:rFonts w:hint="eastAsia"/>
        </w:rPr>
        <w:t>（六）对执行中查封、扣押、冻结的财产故意不履行或者怠于履行监管职责的；</w:t>
      </w:r>
    </w:p>
    <w:p w:rsidR="005928B1" w:rsidRDefault="00F745A1" w:rsidP="007D4275">
      <w:pPr>
        <w:pStyle w:val="ab"/>
        <w:ind w:firstLine="640"/>
      </w:pPr>
      <w:r>
        <w:rPr>
          <w:rFonts w:hint="eastAsia"/>
        </w:rPr>
        <w:t>（七）对不宜长期保存或者易贬值的财产采取执行措施，未及时处理或者违法处理的；</w:t>
      </w:r>
    </w:p>
    <w:p w:rsidR="005928B1" w:rsidRDefault="00F745A1" w:rsidP="007D4275">
      <w:pPr>
        <w:pStyle w:val="ab"/>
        <w:ind w:firstLine="640"/>
      </w:pPr>
      <w:r>
        <w:rPr>
          <w:rFonts w:hint="eastAsia"/>
        </w:rPr>
        <w:t>（八）违法拍卖、变卖、以物抵债，或者依法应当评估而未评估，依法应当拍卖而未拍卖的；</w:t>
      </w:r>
    </w:p>
    <w:p w:rsidR="005928B1" w:rsidRDefault="00F745A1" w:rsidP="007D4275">
      <w:pPr>
        <w:pStyle w:val="ab"/>
        <w:ind w:firstLine="640"/>
      </w:pPr>
      <w:r>
        <w:rPr>
          <w:rFonts w:hint="eastAsia"/>
        </w:rPr>
        <w:t>（九）违法撤销拍卖、变卖或者以物抵债的；</w:t>
      </w:r>
    </w:p>
    <w:p w:rsidR="005928B1" w:rsidRDefault="00F745A1" w:rsidP="007D4275">
      <w:pPr>
        <w:pStyle w:val="ab"/>
        <w:ind w:firstLine="640"/>
      </w:pPr>
      <w:r>
        <w:rPr>
          <w:rFonts w:hint="eastAsia"/>
        </w:rPr>
        <w:t>（十）违法采取纳入失信被执行人名单、限制消费、限制出境等措施的；</w:t>
      </w:r>
    </w:p>
    <w:p w:rsidR="005928B1" w:rsidRDefault="00F745A1" w:rsidP="007D4275">
      <w:pPr>
        <w:pStyle w:val="ab"/>
        <w:ind w:firstLine="640"/>
      </w:pPr>
      <w:r>
        <w:rPr>
          <w:rFonts w:hint="eastAsia"/>
        </w:rPr>
        <w:t>（十一）因违法或者过错采取执行措施或者强制措施的其他行为。</w:t>
      </w:r>
    </w:p>
    <w:p w:rsidR="005928B1" w:rsidRDefault="00F745A1" w:rsidP="007D4275">
      <w:pPr>
        <w:pStyle w:val="ab"/>
        <w:ind w:firstLine="640"/>
      </w:pPr>
      <w:r w:rsidRPr="007D4275">
        <w:rPr>
          <w:rStyle w:val="ac"/>
          <w:rFonts w:hint="eastAsia"/>
        </w:rPr>
        <w:t>第三条</w:t>
      </w:r>
      <w:r w:rsidR="007D4275" w:rsidRPr="007D4275">
        <w:rPr>
          <w:rStyle w:val="ac"/>
          <w:rFonts w:hint="eastAsia"/>
        </w:rPr>
        <w:t xml:space="preserve">　</w:t>
      </w:r>
      <w:r>
        <w:rPr>
          <w:rFonts w:hint="eastAsia"/>
        </w:rPr>
        <w:t>原债权人转让债权的，其基于债权申请国家赔偿的权利随之转移，但根据债权性质、当事人约定或者法律规定不得</w:t>
      </w:r>
      <w:r>
        <w:rPr>
          <w:rFonts w:hint="eastAsia"/>
        </w:rPr>
        <w:lastRenderedPageBreak/>
        <w:t>转让的除外。</w:t>
      </w:r>
    </w:p>
    <w:p w:rsidR="005928B1" w:rsidRDefault="00F745A1" w:rsidP="007D4275">
      <w:pPr>
        <w:pStyle w:val="ab"/>
        <w:ind w:firstLine="640"/>
      </w:pPr>
      <w:r w:rsidRPr="007D4275">
        <w:rPr>
          <w:rStyle w:val="ac"/>
          <w:rFonts w:hint="eastAsia"/>
        </w:rPr>
        <w:t>第四条</w:t>
      </w:r>
      <w:r w:rsidR="007D4275" w:rsidRPr="007D4275">
        <w:rPr>
          <w:rStyle w:val="ac"/>
          <w:rFonts w:hint="eastAsia"/>
        </w:rPr>
        <w:t xml:space="preserve">　</w:t>
      </w:r>
      <w:r>
        <w:rPr>
          <w:rFonts w:hint="eastAsia"/>
        </w:rPr>
        <w:t>人民法院将查封、扣押、冻结等事项委托其他人民法院执行的，公民、法人和其他组织认为错误执行行为造成损害申请赔偿的，委托法院为赔偿义务机关。</w:t>
      </w:r>
    </w:p>
    <w:p w:rsidR="005928B1" w:rsidRDefault="00F745A1" w:rsidP="007D4275">
      <w:pPr>
        <w:pStyle w:val="ab"/>
        <w:ind w:firstLine="640"/>
      </w:pPr>
      <w:r w:rsidRPr="007D4275">
        <w:rPr>
          <w:rStyle w:val="ac"/>
          <w:rFonts w:hint="eastAsia"/>
        </w:rPr>
        <w:t>第五条</w:t>
      </w:r>
      <w:r w:rsidR="007D4275" w:rsidRPr="007D4275">
        <w:rPr>
          <w:rStyle w:val="ac"/>
          <w:rFonts w:hint="eastAsia"/>
        </w:rPr>
        <w:t xml:space="preserve">　</w:t>
      </w:r>
      <w:r>
        <w:rPr>
          <w:rFonts w:hint="eastAsia"/>
        </w:rPr>
        <w:t>公民、法人和其他组织申请错误执行赔偿，应当在执行程序终结后提出，终结前提出的不予受理。但有下列情形之一，且无法在相关诉讼或者执行程序中予以补救的除外：</w:t>
      </w:r>
    </w:p>
    <w:p w:rsidR="005928B1" w:rsidRDefault="00F745A1" w:rsidP="007D4275">
      <w:pPr>
        <w:pStyle w:val="ab"/>
        <w:ind w:firstLine="640"/>
      </w:pPr>
      <w:r>
        <w:rPr>
          <w:rFonts w:hint="eastAsia"/>
        </w:rPr>
        <w:t>（一）罚款、拘留等强制措施已被依法撤销，或者实施过程中造成人身损害的；</w:t>
      </w:r>
    </w:p>
    <w:p w:rsidR="005928B1" w:rsidRDefault="00F745A1" w:rsidP="007D4275">
      <w:pPr>
        <w:pStyle w:val="ab"/>
        <w:ind w:firstLine="640"/>
      </w:pPr>
      <w:r>
        <w:rPr>
          <w:rFonts w:hint="eastAsia"/>
        </w:rPr>
        <w:t>（二）被执行的财产经诉讼程序依法确认不属于被执行人，或者人民法院生效法律文书已确认执行行为违法的；</w:t>
      </w:r>
    </w:p>
    <w:p w:rsidR="005928B1" w:rsidRDefault="00F745A1" w:rsidP="007D4275">
      <w:pPr>
        <w:pStyle w:val="ab"/>
        <w:ind w:firstLine="640"/>
      </w:pPr>
      <w:r>
        <w:rPr>
          <w:rFonts w:hint="eastAsia"/>
        </w:rPr>
        <w:t>（三）自立案执行之日起超过五年，且已裁定终结本次执行程序，被执行人已无可供执行财产的；</w:t>
      </w:r>
    </w:p>
    <w:p w:rsidR="005928B1" w:rsidRDefault="00F745A1" w:rsidP="007D4275">
      <w:pPr>
        <w:pStyle w:val="ab"/>
        <w:ind w:firstLine="640"/>
      </w:pPr>
      <w:r>
        <w:rPr>
          <w:rFonts w:hint="eastAsia"/>
        </w:rPr>
        <w:t>（四）在执行程序终结前可以申请赔偿的其他情形。</w:t>
      </w:r>
    </w:p>
    <w:p w:rsidR="005928B1" w:rsidRDefault="00F745A1" w:rsidP="007D4275">
      <w:pPr>
        <w:pStyle w:val="ab"/>
        <w:ind w:firstLine="640"/>
      </w:pPr>
      <w:r>
        <w:rPr>
          <w:rFonts w:hint="eastAsia"/>
        </w:rPr>
        <w:t>赔偿请求人依据前款规定，在执行程序终结后申请赔偿的，该执行程序期间不计入赔偿请求时效。</w:t>
      </w:r>
    </w:p>
    <w:p w:rsidR="005928B1" w:rsidRDefault="00F745A1" w:rsidP="007D4275">
      <w:pPr>
        <w:pStyle w:val="ab"/>
        <w:ind w:firstLine="640"/>
      </w:pPr>
      <w:r w:rsidRPr="007D4275">
        <w:rPr>
          <w:rStyle w:val="ac"/>
          <w:rFonts w:hint="eastAsia"/>
        </w:rPr>
        <w:t>第六条</w:t>
      </w:r>
      <w:r w:rsidR="007D4275" w:rsidRPr="007D4275">
        <w:rPr>
          <w:rStyle w:val="ac"/>
          <w:rFonts w:hint="eastAsia"/>
        </w:rPr>
        <w:t xml:space="preserve">　</w:t>
      </w:r>
      <w:r>
        <w:rPr>
          <w:rFonts w:hint="eastAsia"/>
        </w:rPr>
        <w:t>公民、法人和其他组织在执行异议、复议或者执行监督程序审查期间，就相关执行措施或者强制措施申请赔偿的，人民法院不予受理，已经受理的予以驳回，并告知其在上述程序终结后可以依照本解释第五条的规定依法提出赔偿申请。</w:t>
      </w:r>
    </w:p>
    <w:p w:rsidR="005928B1" w:rsidRDefault="00F745A1" w:rsidP="007D4275">
      <w:pPr>
        <w:pStyle w:val="ab"/>
        <w:ind w:firstLine="640"/>
      </w:pPr>
      <w:r>
        <w:rPr>
          <w:rFonts w:hint="eastAsia"/>
        </w:rPr>
        <w:t>公民、法人和其他组织在执行程序中未就相关执行措施、强制措施提出异议、申请复议或者申请执行监督，不影响其依法申</w:t>
      </w:r>
      <w:r>
        <w:rPr>
          <w:rFonts w:hint="eastAsia"/>
        </w:rPr>
        <w:lastRenderedPageBreak/>
        <w:t>请赔偿的权利。</w:t>
      </w:r>
    </w:p>
    <w:p w:rsidR="005928B1" w:rsidRDefault="00F745A1" w:rsidP="007D4275">
      <w:pPr>
        <w:pStyle w:val="ab"/>
        <w:ind w:firstLine="640"/>
      </w:pPr>
      <w:r w:rsidRPr="007D4275">
        <w:rPr>
          <w:rStyle w:val="ac"/>
          <w:rFonts w:hint="eastAsia"/>
        </w:rPr>
        <w:t>第七条</w:t>
      </w:r>
      <w:r w:rsidR="007D4275" w:rsidRPr="007D4275">
        <w:rPr>
          <w:rStyle w:val="ac"/>
          <w:rFonts w:hint="eastAsia"/>
        </w:rPr>
        <w:t xml:space="preserve">　</w:t>
      </w:r>
      <w:r>
        <w:rPr>
          <w:rFonts w:hint="eastAsia"/>
        </w:rPr>
        <w:t>经执行异议、复议或者执行监督程序作出的生效法律文书，对执行行为是否合法已有认定的，该生效法律文书可以作为人民法院赔偿委员会认定执行行为合法性的根据。</w:t>
      </w:r>
    </w:p>
    <w:p w:rsidR="005928B1" w:rsidRDefault="00F745A1" w:rsidP="007D4275">
      <w:pPr>
        <w:pStyle w:val="ab"/>
        <w:ind w:firstLine="640"/>
      </w:pPr>
      <w:r>
        <w:rPr>
          <w:rFonts w:hint="eastAsia"/>
        </w:rPr>
        <w:t>赔偿请求人对执行行为的合法性提出相反主张，且提供相应证据予以证明的，人民法院赔偿委员会应当对执行行为进行合法性审查并作出认定。</w:t>
      </w:r>
    </w:p>
    <w:p w:rsidR="005928B1" w:rsidRDefault="00F745A1" w:rsidP="007D4275">
      <w:pPr>
        <w:pStyle w:val="ab"/>
        <w:ind w:firstLine="640"/>
      </w:pPr>
      <w:r w:rsidRPr="007D4275">
        <w:rPr>
          <w:rStyle w:val="ac"/>
          <w:rFonts w:hint="eastAsia"/>
        </w:rPr>
        <w:t>第八条</w:t>
      </w:r>
      <w:r w:rsidR="007D4275" w:rsidRPr="007D4275">
        <w:rPr>
          <w:rStyle w:val="ac"/>
          <w:rFonts w:hint="eastAsia"/>
        </w:rPr>
        <w:t xml:space="preserve">　</w:t>
      </w:r>
      <w:r>
        <w:rPr>
          <w:rFonts w:hint="eastAsia"/>
        </w:rPr>
        <w:t>根据当时有效的执行依据或者依法认定的基本事实作出的执行行为，不因下列情形而认定为错误执行：</w:t>
      </w:r>
    </w:p>
    <w:p w:rsidR="005928B1" w:rsidRDefault="00F745A1" w:rsidP="007D4275">
      <w:pPr>
        <w:pStyle w:val="ab"/>
        <w:ind w:firstLine="640"/>
      </w:pPr>
      <w:r>
        <w:rPr>
          <w:rFonts w:hint="eastAsia"/>
        </w:rPr>
        <w:t>（一）采取执行措施或者强制措施后，据以执行的判决、裁定及其他生效法律文书被撤销或者变更的；</w:t>
      </w:r>
    </w:p>
    <w:p w:rsidR="005928B1" w:rsidRDefault="00F745A1" w:rsidP="007D4275">
      <w:pPr>
        <w:pStyle w:val="ab"/>
        <w:ind w:firstLine="640"/>
      </w:pPr>
      <w:r>
        <w:rPr>
          <w:rFonts w:hint="eastAsia"/>
        </w:rPr>
        <w:t>（二）被执行人足以对抗执行的实体事由，系在执行措施完成后发生或者被依法确认的；</w:t>
      </w:r>
    </w:p>
    <w:p w:rsidR="005928B1" w:rsidRDefault="00F745A1" w:rsidP="007D4275">
      <w:pPr>
        <w:pStyle w:val="ab"/>
        <w:ind w:firstLine="640"/>
      </w:pPr>
      <w:r>
        <w:rPr>
          <w:rFonts w:hint="eastAsia"/>
        </w:rPr>
        <w:t>（三）案外人对执行标的享有足以排除执行的实体权利，系在执行措施完成后经法定程序确认的；</w:t>
      </w:r>
    </w:p>
    <w:p w:rsidR="005928B1" w:rsidRDefault="00F745A1" w:rsidP="007D4275">
      <w:pPr>
        <w:pStyle w:val="ab"/>
        <w:ind w:firstLine="640"/>
      </w:pPr>
      <w:r>
        <w:rPr>
          <w:rFonts w:hint="eastAsia"/>
        </w:rPr>
        <w:t>（四）人民法院作出准予执行行政行为的裁定并实施后，该行政行为被依法变更、撤销、确认违法或者确认无效的；</w:t>
      </w:r>
    </w:p>
    <w:p w:rsidR="005928B1" w:rsidRDefault="00F745A1" w:rsidP="007D4275">
      <w:pPr>
        <w:pStyle w:val="ab"/>
        <w:ind w:firstLine="640"/>
      </w:pPr>
      <w:r>
        <w:rPr>
          <w:rFonts w:hint="eastAsia"/>
        </w:rPr>
        <w:t>（五）根据财产登记采取执行措施后，该登记被依法确认错误的；</w:t>
      </w:r>
    </w:p>
    <w:p w:rsidR="005928B1" w:rsidRDefault="00F745A1" w:rsidP="007D4275">
      <w:pPr>
        <w:pStyle w:val="ab"/>
        <w:ind w:firstLine="640"/>
      </w:pPr>
      <w:r>
        <w:rPr>
          <w:rFonts w:hint="eastAsia"/>
        </w:rPr>
        <w:t>（六）执行依据或者基本事实嗣后改变的其他情形。</w:t>
      </w:r>
    </w:p>
    <w:p w:rsidR="005928B1" w:rsidRDefault="00F745A1" w:rsidP="007D4275">
      <w:pPr>
        <w:pStyle w:val="ab"/>
        <w:ind w:firstLine="640"/>
      </w:pPr>
      <w:r w:rsidRPr="007D4275">
        <w:rPr>
          <w:rStyle w:val="ac"/>
          <w:rFonts w:hint="eastAsia"/>
        </w:rPr>
        <w:t>第九条</w:t>
      </w:r>
      <w:r w:rsidR="007D4275" w:rsidRPr="007D4275">
        <w:rPr>
          <w:rStyle w:val="ac"/>
          <w:rFonts w:hint="eastAsia"/>
        </w:rPr>
        <w:t xml:space="preserve">　</w:t>
      </w:r>
      <w:r>
        <w:rPr>
          <w:rFonts w:hint="eastAsia"/>
        </w:rPr>
        <w:t>赔偿请求人应当对其主张的损害负举证责任。但因人民法院未列清单、列举不详等过错致使赔偿请求人无法就损害</w:t>
      </w:r>
      <w:r>
        <w:rPr>
          <w:rFonts w:hint="eastAsia"/>
        </w:rPr>
        <w:lastRenderedPageBreak/>
        <w:t>举证的，应当由人民法院对上述事实承担举证责任。</w:t>
      </w:r>
    </w:p>
    <w:p w:rsidR="005928B1" w:rsidRDefault="00F745A1" w:rsidP="007D4275">
      <w:pPr>
        <w:pStyle w:val="ab"/>
        <w:ind w:firstLine="640"/>
      </w:pPr>
      <w:r>
        <w:rPr>
          <w:rFonts w:hint="eastAsia"/>
        </w:rPr>
        <w:t>双方主张损害的价值无法认定的，应当由负有举证责任的一方申请鉴定。负有举证责任的一方拒绝申请鉴定的，由其承担不利的法律后果；无法鉴定的，人民法院赔偿委员会应当结合双方的主张和在案证据，运用逻辑推理、日常生活经验等进行判断。</w:t>
      </w:r>
    </w:p>
    <w:p w:rsidR="005928B1" w:rsidRDefault="00F745A1" w:rsidP="007D4275">
      <w:pPr>
        <w:pStyle w:val="ab"/>
        <w:ind w:firstLine="640"/>
      </w:pPr>
      <w:r w:rsidRPr="007D4275">
        <w:rPr>
          <w:rStyle w:val="ac"/>
          <w:rFonts w:hint="eastAsia"/>
        </w:rPr>
        <w:t>第十条</w:t>
      </w:r>
      <w:r w:rsidR="007D4275" w:rsidRPr="007D4275">
        <w:rPr>
          <w:rStyle w:val="ac"/>
          <w:rFonts w:hint="eastAsia"/>
        </w:rPr>
        <w:t xml:space="preserve">　</w:t>
      </w:r>
      <w:r>
        <w:rPr>
          <w:rFonts w:hint="eastAsia"/>
        </w:rPr>
        <w:t>被执行人因财产权被侵犯依照本解释第五条第一款规定申请赔偿，其债务尚未清偿的，获得的赔偿金应当首先用于清偿其债务。</w:t>
      </w:r>
    </w:p>
    <w:p w:rsidR="005928B1" w:rsidRDefault="00F745A1" w:rsidP="007D4275">
      <w:pPr>
        <w:pStyle w:val="ab"/>
        <w:ind w:firstLine="640"/>
      </w:pPr>
      <w:r w:rsidRPr="007D4275">
        <w:rPr>
          <w:rStyle w:val="ac"/>
          <w:rFonts w:hint="eastAsia"/>
        </w:rPr>
        <w:t>第十一条</w:t>
      </w:r>
      <w:r w:rsidR="007D4275" w:rsidRPr="007D4275">
        <w:rPr>
          <w:rStyle w:val="ac"/>
          <w:rFonts w:hint="eastAsia"/>
        </w:rPr>
        <w:t xml:space="preserve">　</w:t>
      </w:r>
      <w:r>
        <w:rPr>
          <w:rFonts w:hint="eastAsia"/>
        </w:rPr>
        <w:t>因错误执行取得不当利益且无法返还的，人民法院承担赔偿责任后，可以依据赔偿决定向取得不当利益的人追偿。</w:t>
      </w:r>
    </w:p>
    <w:p w:rsidR="005928B1" w:rsidRDefault="00F745A1" w:rsidP="007D4275">
      <w:pPr>
        <w:pStyle w:val="ab"/>
        <w:ind w:firstLine="640"/>
      </w:pPr>
      <w:r>
        <w:rPr>
          <w:rFonts w:hint="eastAsia"/>
        </w:rPr>
        <w:t>因错误执行致使生效法律文书无法执行，申请执行人获得国家赔偿后申请继续执行的，不予支持。人民法院承担赔偿责任后，可以依据赔偿决定向被执行人追偿。</w:t>
      </w:r>
    </w:p>
    <w:p w:rsidR="005928B1" w:rsidRDefault="00F745A1" w:rsidP="007D4275">
      <w:pPr>
        <w:pStyle w:val="ab"/>
        <w:ind w:firstLine="640"/>
      </w:pPr>
      <w:r w:rsidRPr="007D4275">
        <w:rPr>
          <w:rStyle w:val="ac"/>
          <w:rFonts w:hint="eastAsia"/>
        </w:rPr>
        <w:t>第十二条</w:t>
      </w:r>
      <w:r w:rsidR="007D4275" w:rsidRPr="007D4275">
        <w:rPr>
          <w:rStyle w:val="ac"/>
          <w:rFonts w:hint="eastAsia"/>
        </w:rPr>
        <w:t xml:space="preserve">　</w:t>
      </w:r>
      <w:r>
        <w:rPr>
          <w:rFonts w:hint="eastAsia"/>
        </w:rPr>
        <w:t>在执行过程中,因保管人或者第三人的行为侵犯公民、法人和其他组织合法权益并造成损害的，应当由保管人或者第三人承担责任。但人民法院未尽监管职责的，应当在其能够防止或者制止损害发生、扩大的范围内承担相应的赔偿责任，并可以依据赔偿决定向保管人或者第三人追偿。</w:t>
      </w:r>
    </w:p>
    <w:p w:rsidR="005928B1" w:rsidRDefault="00F745A1" w:rsidP="007D4275">
      <w:pPr>
        <w:pStyle w:val="ab"/>
        <w:ind w:firstLine="640"/>
      </w:pPr>
      <w:r w:rsidRPr="007D4275">
        <w:rPr>
          <w:rStyle w:val="ac"/>
          <w:rFonts w:hint="eastAsia"/>
        </w:rPr>
        <w:t>第十三条</w:t>
      </w:r>
      <w:r w:rsidR="007D4275" w:rsidRPr="007D4275">
        <w:rPr>
          <w:rStyle w:val="ac"/>
          <w:rFonts w:hint="eastAsia"/>
        </w:rPr>
        <w:t xml:space="preserve">　</w:t>
      </w:r>
      <w:r>
        <w:rPr>
          <w:rFonts w:hint="eastAsia"/>
        </w:rPr>
        <w:t>属于下列情形之一的，人民法院不承担赔偿责任：</w:t>
      </w:r>
    </w:p>
    <w:p w:rsidR="005928B1" w:rsidRDefault="00F745A1" w:rsidP="007D4275">
      <w:pPr>
        <w:pStyle w:val="ab"/>
        <w:ind w:firstLine="640"/>
      </w:pPr>
      <w:r>
        <w:rPr>
          <w:rFonts w:hint="eastAsia"/>
        </w:rPr>
        <w:t>（一）申请执行人提供财产线索错误的；</w:t>
      </w:r>
    </w:p>
    <w:p w:rsidR="005928B1" w:rsidRDefault="00F745A1" w:rsidP="007D4275">
      <w:pPr>
        <w:pStyle w:val="ab"/>
        <w:ind w:firstLine="640"/>
      </w:pPr>
      <w:r>
        <w:rPr>
          <w:rFonts w:hint="eastAsia"/>
        </w:rPr>
        <w:t>（二）执行措施系根据依法提供的担保而采取或者解除的；</w:t>
      </w:r>
    </w:p>
    <w:p w:rsidR="005928B1" w:rsidRDefault="00F745A1" w:rsidP="007D4275">
      <w:pPr>
        <w:pStyle w:val="ab"/>
        <w:ind w:firstLine="640"/>
      </w:pPr>
      <w:r>
        <w:rPr>
          <w:rFonts w:hint="eastAsia"/>
        </w:rPr>
        <w:t>（三）人民法院工作人员实施与行使职权无关的个人行为的；</w:t>
      </w:r>
    </w:p>
    <w:p w:rsidR="005928B1" w:rsidRDefault="00F745A1" w:rsidP="007D4275">
      <w:pPr>
        <w:pStyle w:val="ab"/>
        <w:ind w:firstLine="640"/>
      </w:pPr>
      <w:r>
        <w:rPr>
          <w:rFonts w:hint="eastAsia"/>
        </w:rPr>
        <w:lastRenderedPageBreak/>
        <w:t>（四）评估或者拍卖机构实施违法行为造成损害的；</w:t>
      </w:r>
    </w:p>
    <w:p w:rsidR="005928B1" w:rsidRDefault="00F745A1" w:rsidP="007D4275">
      <w:pPr>
        <w:pStyle w:val="ab"/>
        <w:ind w:firstLine="640"/>
      </w:pPr>
      <w:r>
        <w:rPr>
          <w:rFonts w:hint="eastAsia"/>
        </w:rPr>
        <w:t>（五）因不可抗力、正当防卫或者紧急避险造成损害的；</w:t>
      </w:r>
    </w:p>
    <w:p w:rsidR="005928B1" w:rsidRDefault="00F745A1" w:rsidP="007D4275">
      <w:pPr>
        <w:pStyle w:val="ab"/>
        <w:ind w:firstLine="640"/>
      </w:pPr>
      <w:r>
        <w:rPr>
          <w:rFonts w:hint="eastAsia"/>
        </w:rPr>
        <w:t>（六）依法不应由人民法院承担赔偿责任的其他情形。</w:t>
      </w:r>
    </w:p>
    <w:p w:rsidR="005928B1" w:rsidRDefault="00F745A1" w:rsidP="007D4275">
      <w:pPr>
        <w:pStyle w:val="ab"/>
        <w:ind w:firstLine="640"/>
      </w:pPr>
      <w:r>
        <w:rPr>
          <w:rFonts w:hint="eastAsia"/>
        </w:rPr>
        <w:t xml:space="preserve">前款情形中，人民法院有错误执行行为的，应当根据其在损害发生过程和结果中所起的作用承担相应的赔偿责任。　</w:t>
      </w:r>
    </w:p>
    <w:p w:rsidR="005928B1" w:rsidRPr="007D4275" w:rsidRDefault="00F745A1" w:rsidP="007D4275">
      <w:pPr>
        <w:pStyle w:val="ab"/>
        <w:ind w:firstLine="640"/>
        <w:rPr>
          <w:spacing w:val="4"/>
        </w:rPr>
      </w:pPr>
      <w:r w:rsidRPr="007D4275">
        <w:rPr>
          <w:rStyle w:val="ac"/>
          <w:rFonts w:hint="eastAsia"/>
        </w:rPr>
        <w:t>第十四条</w:t>
      </w:r>
      <w:r w:rsidR="007D4275" w:rsidRPr="007D4275">
        <w:rPr>
          <w:rStyle w:val="ac"/>
          <w:rFonts w:hint="eastAsia"/>
        </w:rPr>
        <w:t xml:space="preserve">　</w:t>
      </w:r>
      <w:r>
        <w:rPr>
          <w:rFonts w:hint="eastAsia"/>
        </w:rPr>
        <w:t>错误执行造成公民、法人和其他组织利息、</w:t>
      </w:r>
      <w:r w:rsidRPr="007D4275">
        <w:rPr>
          <w:rFonts w:hint="eastAsia"/>
          <w:spacing w:val="4"/>
        </w:rPr>
        <w:t>租金等实际损失的，适用国家赔偿法第三十六条第八项的规定予以赔偿。</w:t>
      </w:r>
    </w:p>
    <w:p w:rsidR="005928B1" w:rsidRDefault="00F745A1" w:rsidP="007D4275">
      <w:pPr>
        <w:pStyle w:val="ab"/>
        <w:ind w:firstLine="640"/>
      </w:pPr>
      <w:r w:rsidRPr="00205B52">
        <w:rPr>
          <w:rStyle w:val="ac"/>
          <w:rFonts w:hint="eastAsia"/>
        </w:rPr>
        <w:t>第十五条</w:t>
      </w:r>
      <w:r w:rsidR="00205B52" w:rsidRPr="00205B52">
        <w:rPr>
          <w:rStyle w:val="ac"/>
          <w:rFonts w:hint="eastAsia"/>
        </w:rPr>
        <w:t xml:space="preserve">　</w:t>
      </w:r>
      <w:r>
        <w:rPr>
          <w:rFonts w:hint="eastAsia"/>
        </w:rPr>
        <w:t>侵犯公民、法人和其他组织的财产权，按照错误执行行为发生时的市场价格不足以弥补受害人损失或者该价格无法确定的，可以采用下列方式计算损失：</w:t>
      </w:r>
    </w:p>
    <w:p w:rsidR="005928B1" w:rsidRDefault="00F745A1" w:rsidP="007D4275">
      <w:pPr>
        <w:pStyle w:val="ab"/>
        <w:ind w:firstLine="640"/>
      </w:pPr>
      <w:r>
        <w:rPr>
          <w:rFonts w:hint="eastAsia"/>
        </w:rPr>
        <w:t>（一）按照错误执行行为发生时的市场价格计算财产损失并支付利息，利息计算期间从错误执行行为实施之日起至赔偿决定作出之日止；</w:t>
      </w:r>
    </w:p>
    <w:p w:rsidR="005928B1" w:rsidRDefault="00F745A1" w:rsidP="007D4275">
      <w:pPr>
        <w:pStyle w:val="ab"/>
        <w:ind w:firstLine="640"/>
      </w:pPr>
      <w:r>
        <w:rPr>
          <w:rFonts w:hint="eastAsia"/>
        </w:rPr>
        <w:t>（二）错误执行行为发生时的市场价格无法确定，或者因时间跨度长、市场价格波动大等因素按照错误执行行为发生时的市场价格计算显失公平的，可以参照赔偿决定作出时同类财产市场价格计算；</w:t>
      </w:r>
    </w:p>
    <w:p w:rsidR="005928B1" w:rsidRDefault="00F745A1" w:rsidP="007D4275">
      <w:pPr>
        <w:pStyle w:val="ab"/>
        <w:ind w:firstLine="640"/>
      </w:pPr>
      <w:r>
        <w:rPr>
          <w:rFonts w:hint="eastAsia"/>
        </w:rPr>
        <w:t>（三）其他合理方式。</w:t>
      </w:r>
    </w:p>
    <w:p w:rsidR="005928B1" w:rsidRDefault="00F745A1" w:rsidP="007D4275">
      <w:pPr>
        <w:pStyle w:val="ab"/>
        <w:ind w:firstLine="640"/>
      </w:pPr>
      <w:r w:rsidRPr="00205B52">
        <w:rPr>
          <w:rStyle w:val="ac"/>
          <w:rFonts w:hint="eastAsia"/>
        </w:rPr>
        <w:t>第十六条</w:t>
      </w:r>
      <w:r w:rsidR="00205B52" w:rsidRPr="00205B52">
        <w:rPr>
          <w:rStyle w:val="ac"/>
          <w:rFonts w:hint="eastAsia"/>
        </w:rPr>
        <w:t xml:space="preserve">　</w:t>
      </w:r>
      <w:r>
        <w:rPr>
          <w:rFonts w:hint="eastAsia"/>
        </w:rPr>
        <w:t>错误执行造成受害人停产停业的，下列损失属于停产停业期间必要的经常性费用开支：</w:t>
      </w:r>
    </w:p>
    <w:p w:rsidR="005928B1" w:rsidRDefault="00F745A1" w:rsidP="007D4275">
      <w:pPr>
        <w:pStyle w:val="ab"/>
        <w:ind w:firstLine="640"/>
      </w:pPr>
      <w:r>
        <w:rPr>
          <w:rFonts w:hint="eastAsia"/>
        </w:rPr>
        <w:t>（一）必要留守职工工资；</w:t>
      </w:r>
    </w:p>
    <w:p w:rsidR="005928B1" w:rsidRDefault="00F745A1" w:rsidP="007D4275">
      <w:pPr>
        <w:pStyle w:val="ab"/>
        <w:ind w:firstLine="640"/>
      </w:pPr>
      <w:r>
        <w:rPr>
          <w:rFonts w:hint="eastAsia"/>
        </w:rPr>
        <w:lastRenderedPageBreak/>
        <w:t>（二）必须缴纳的税款、社会保险费；</w:t>
      </w:r>
    </w:p>
    <w:p w:rsidR="005928B1" w:rsidRDefault="00F745A1" w:rsidP="007D4275">
      <w:pPr>
        <w:pStyle w:val="ab"/>
        <w:ind w:firstLine="640"/>
      </w:pPr>
      <w:r>
        <w:rPr>
          <w:rFonts w:hint="eastAsia"/>
        </w:rPr>
        <w:t>（三）应当缴纳的水电费、保管费、仓储费、承包费；</w:t>
      </w:r>
    </w:p>
    <w:p w:rsidR="005928B1" w:rsidRDefault="00F745A1" w:rsidP="007D4275">
      <w:pPr>
        <w:pStyle w:val="ab"/>
        <w:ind w:firstLine="640"/>
      </w:pPr>
      <w:r>
        <w:rPr>
          <w:rFonts w:hint="eastAsia"/>
        </w:rPr>
        <w:t>（四）合理的房屋场地租金、设备租金、设备折旧费；</w:t>
      </w:r>
    </w:p>
    <w:p w:rsidR="005928B1" w:rsidRDefault="00F745A1" w:rsidP="007D4275">
      <w:pPr>
        <w:pStyle w:val="ab"/>
        <w:ind w:firstLine="640"/>
      </w:pPr>
      <w:r>
        <w:rPr>
          <w:rFonts w:hint="eastAsia"/>
        </w:rPr>
        <w:t>（五）维系停产停业期间运营所需的其他基本开支。</w:t>
      </w:r>
    </w:p>
    <w:p w:rsidR="005928B1" w:rsidRDefault="00F745A1" w:rsidP="007D4275">
      <w:pPr>
        <w:pStyle w:val="ab"/>
        <w:ind w:firstLine="640"/>
      </w:pPr>
      <w:r>
        <w:rPr>
          <w:rFonts w:hint="eastAsia"/>
        </w:rPr>
        <w:t>错误执行生产设备、用于营运的运输工具，致使受害人丧失唯一生活来源的，按照其实际损失予以赔偿。</w:t>
      </w:r>
    </w:p>
    <w:p w:rsidR="005928B1" w:rsidRDefault="00F745A1" w:rsidP="007D4275">
      <w:pPr>
        <w:pStyle w:val="ab"/>
        <w:ind w:firstLine="640"/>
      </w:pPr>
      <w:r w:rsidRPr="00205B52">
        <w:rPr>
          <w:rStyle w:val="ac"/>
          <w:rFonts w:hint="eastAsia"/>
        </w:rPr>
        <w:t>第十七条</w:t>
      </w:r>
      <w:r w:rsidR="00205B52" w:rsidRPr="00205B52">
        <w:rPr>
          <w:rStyle w:val="ac"/>
          <w:rFonts w:hint="eastAsia"/>
        </w:rPr>
        <w:t xml:space="preserve">　</w:t>
      </w:r>
      <w:r>
        <w:rPr>
          <w:rFonts w:hint="eastAsia"/>
        </w:rPr>
        <w:t>错误执行侵犯债权的，赔偿范围一般应当以债权标的额为限。债权受让人申请赔偿的，赔偿范围以其受让债权时支付的对价为限。</w:t>
      </w:r>
    </w:p>
    <w:p w:rsidR="005928B1" w:rsidRPr="00205B52" w:rsidRDefault="00F745A1" w:rsidP="007D4275">
      <w:pPr>
        <w:pStyle w:val="ab"/>
        <w:ind w:firstLine="640"/>
        <w:rPr>
          <w:spacing w:val="4"/>
        </w:rPr>
      </w:pPr>
      <w:r w:rsidRPr="00205B52">
        <w:rPr>
          <w:rStyle w:val="ac"/>
          <w:rFonts w:hint="eastAsia"/>
        </w:rPr>
        <w:t>第十八条</w:t>
      </w:r>
      <w:r w:rsidR="00205B52" w:rsidRPr="00205B52">
        <w:rPr>
          <w:rStyle w:val="ac"/>
          <w:rFonts w:hint="eastAsia"/>
        </w:rPr>
        <w:t xml:space="preserve">　</w:t>
      </w:r>
      <w:r>
        <w:rPr>
          <w:rFonts w:hint="eastAsia"/>
        </w:rPr>
        <w:t>违法采取保全措施的案件进入执行程序后，</w:t>
      </w:r>
      <w:r w:rsidRPr="00205B52">
        <w:rPr>
          <w:rFonts w:hint="eastAsia"/>
          <w:spacing w:val="4"/>
        </w:rPr>
        <w:t>公民、法人和其他组织申请赔偿的，应当作为错误执行案件予以立案审查。</w:t>
      </w:r>
    </w:p>
    <w:p w:rsidR="005928B1" w:rsidRDefault="00F745A1" w:rsidP="007D4275">
      <w:pPr>
        <w:pStyle w:val="ab"/>
        <w:ind w:firstLine="640"/>
      </w:pPr>
      <w:r w:rsidRPr="00205B52">
        <w:rPr>
          <w:rStyle w:val="ac"/>
          <w:rFonts w:hint="eastAsia"/>
        </w:rPr>
        <w:t>第十九条</w:t>
      </w:r>
      <w:r w:rsidR="00205B52" w:rsidRPr="00205B52">
        <w:rPr>
          <w:rStyle w:val="ac"/>
          <w:rFonts w:hint="eastAsia"/>
        </w:rPr>
        <w:t xml:space="preserve">　</w:t>
      </w:r>
      <w:r>
        <w:rPr>
          <w:rFonts w:hint="eastAsia"/>
        </w:rPr>
        <w:t>审理违法采取妨害诉讼的强制措施、保全、先予执行赔偿案件，可以参照适用本解释。</w:t>
      </w:r>
    </w:p>
    <w:p w:rsidR="005928B1" w:rsidRDefault="00F745A1" w:rsidP="007D4275">
      <w:pPr>
        <w:pStyle w:val="ab"/>
        <w:ind w:firstLine="640"/>
      </w:pPr>
      <w:r w:rsidRPr="00205B52">
        <w:rPr>
          <w:rStyle w:val="ac"/>
          <w:rFonts w:hint="eastAsia"/>
        </w:rPr>
        <w:t>第二十条</w:t>
      </w:r>
      <w:r w:rsidR="00205B52" w:rsidRPr="00205B52">
        <w:rPr>
          <w:rStyle w:val="ac"/>
          <w:rFonts w:hint="eastAsia"/>
        </w:rPr>
        <w:t xml:space="preserve">　</w:t>
      </w:r>
      <w:r>
        <w:rPr>
          <w:rFonts w:hint="eastAsia"/>
        </w:rPr>
        <w:t>本解释自2022年3月1日起施行。施行前本院公布的司法解释与本解释不一致的，以本解释为准。</w:t>
      </w:r>
      <w:bookmarkStart w:id="0" w:name="_GoBack"/>
      <w:bookmarkEnd w:id="0"/>
    </w:p>
    <w:sectPr w:rsidR="005928B1" w:rsidSect="0062678C">
      <w:footerReference w:type="even" r:id="rId9"/>
      <w:footerReference w:type="default" r:id="rId10"/>
      <w:pgSz w:w="11906" w:h="16838" w:code="9"/>
      <w:pgMar w:top="2098" w:right="1474" w:bottom="1985" w:left="1588" w:header="851" w:footer="992" w:gutter="0"/>
      <w:pgNumType w:start="1"/>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11EA" w:rsidRDefault="00A211EA">
      <w:r>
        <w:separator/>
      </w:r>
    </w:p>
  </w:endnote>
  <w:endnote w:type="continuationSeparator" w:id="0">
    <w:p w:rsidR="00A211EA" w:rsidRDefault="00A211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仿宋_GB2312">
    <w:altName w:val="仿宋"/>
    <w:charset w:val="86"/>
    <w:family w:val="modern"/>
    <w:pitch w:val="default"/>
    <w:sig w:usb0="00000000" w:usb1="00000000" w:usb2="00000010" w:usb3="00000000" w:csb0="00040000" w:csb1="00000000"/>
  </w:font>
  <w:font w:name="楷体_GB2312">
    <w:altName w:val="楷体"/>
    <w:charset w:val="86"/>
    <w:family w:val="modern"/>
    <w:pitch w:val="default"/>
    <w:sig w:usb0="00000000" w:usb1="00000000" w:usb2="00000010" w:usb3="00000000" w:csb0="00040000" w:csb1="00000000"/>
  </w:font>
  <w:font w:name="楷体">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678C" w:rsidRDefault="009137B4" w:rsidP="009137B4">
    <w:pPr>
      <w:pStyle w:val="ad"/>
      <w:ind w:right="-378"/>
    </w:pPr>
    <w:r>
      <w:fldChar w:fldCharType="begin"/>
    </w:r>
    <w:r>
      <w:instrText xml:space="preserve"> PAGE  \* ArabicDash  \* MERGEFORMAT </w:instrText>
    </w:r>
    <w:r>
      <w:fldChar w:fldCharType="separate"/>
    </w:r>
    <w:r>
      <w:rPr>
        <w:noProof/>
      </w:rPr>
      <w:t>- 6 -</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678C" w:rsidRDefault="009137B4" w:rsidP="009137B4">
    <w:pPr>
      <w:pStyle w:val="ae"/>
      <w:ind w:left="-378"/>
    </w:pPr>
    <w:r>
      <w:fldChar w:fldCharType="begin"/>
    </w:r>
    <w:r>
      <w:instrText xml:space="preserve"> PAGE  \* ArabicDash  \* MERGEFORMAT </w:instrText>
    </w:r>
    <w:r>
      <w:fldChar w:fldCharType="separate"/>
    </w:r>
    <w:r>
      <w:rPr>
        <w:noProof/>
      </w:rPr>
      <w:t>- 7 -</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11EA" w:rsidRDefault="00A211EA">
      <w:r>
        <w:separator/>
      </w:r>
    </w:p>
  </w:footnote>
  <w:footnote w:type="continuationSeparator" w:id="0">
    <w:p w:rsidR="00A211EA" w:rsidRDefault="00A211E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94846B0"/>
    <w:lvl w:ilvl="0">
      <w:start w:val="1"/>
      <w:numFmt w:val="decimal"/>
      <w:lvlText w:val="%1."/>
      <w:lvlJc w:val="left"/>
      <w:pPr>
        <w:tabs>
          <w:tab w:val="num" w:pos="2040"/>
        </w:tabs>
        <w:ind w:leftChars="800" w:left="2040" w:hangingChars="200" w:hanging="360"/>
      </w:pPr>
    </w:lvl>
  </w:abstractNum>
  <w:abstractNum w:abstractNumId="1">
    <w:nsid w:val="FFFFFF7D"/>
    <w:multiLevelType w:val="singleLevel"/>
    <w:tmpl w:val="5AAE5B34"/>
    <w:lvl w:ilvl="0">
      <w:start w:val="1"/>
      <w:numFmt w:val="decimal"/>
      <w:lvlText w:val="%1."/>
      <w:lvlJc w:val="left"/>
      <w:pPr>
        <w:tabs>
          <w:tab w:val="num" w:pos="1620"/>
        </w:tabs>
        <w:ind w:leftChars="600" w:left="1620" w:hangingChars="200" w:hanging="360"/>
      </w:pPr>
    </w:lvl>
  </w:abstractNum>
  <w:abstractNum w:abstractNumId="2">
    <w:nsid w:val="FFFFFF7E"/>
    <w:multiLevelType w:val="singleLevel"/>
    <w:tmpl w:val="5E7C3A3C"/>
    <w:lvl w:ilvl="0">
      <w:start w:val="1"/>
      <w:numFmt w:val="decimal"/>
      <w:lvlText w:val="%1."/>
      <w:lvlJc w:val="left"/>
      <w:pPr>
        <w:tabs>
          <w:tab w:val="num" w:pos="1200"/>
        </w:tabs>
        <w:ind w:leftChars="400" w:left="1200" w:hangingChars="200" w:hanging="360"/>
      </w:pPr>
    </w:lvl>
  </w:abstractNum>
  <w:abstractNum w:abstractNumId="3">
    <w:nsid w:val="FFFFFF7F"/>
    <w:multiLevelType w:val="singleLevel"/>
    <w:tmpl w:val="39F009BA"/>
    <w:lvl w:ilvl="0">
      <w:start w:val="1"/>
      <w:numFmt w:val="decimal"/>
      <w:lvlText w:val="%1."/>
      <w:lvlJc w:val="left"/>
      <w:pPr>
        <w:tabs>
          <w:tab w:val="num" w:pos="780"/>
        </w:tabs>
        <w:ind w:leftChars="200" w:left="780" w:hangingChars="200" w:hanging="360"/>
      </w:pPr>
    </w:lvl>
  </w:abstractNum>
  <w:abstractNum w:abstractNumId="4">
    <w:nsid w:val="FFFFFF80"/>
    <w:multiLevelType w:val="singleLevel"/>
    <w:tmpl w:val="020E4702"/>
    <w:lvl w:ilvl="0">
      <w:start w:val="1"/>
      <w:numFmt w:val="bullet"/>
      <w:lvlText w:val=""/>
      <w:lvlJc w:val="left"/>
      <w:pPr>
        <w:tabs>
          <w:tab w:val="num" w:pos="2040"/>
        </w:tabs>
        <w:ind w:leftChars="800" w:left="2040" w:hangingChars="200" w:hanging="360"/>
      </w:pPr>
      <w:rPr>
        <w:rFonts w:ascii="Wingdings" w:hAnsi="Wingdings" w:hint="default"/>
      </w:rPr>
    </w:lvl>
  </w:abstractNum>
  <w:abstractNum w:abstractNumId="5">
    <w:nsid w:val="FFFFFF81"/>
    <w:multiLevelType w:val="singleLevel"/>
    <w:tmpl w:val="7480AF06"/>
    <w:lvl w:ilvl="0">
      <w:start w:val="1"/>
      <w:numFmt w:val="bullet"/>
      <w:lvlText w:val=""/>
      <w:lvlJc w:val="left"/>
      <w:pPr>
        <w:tabs>
          <w:tab w:val="num" w:pos="1620"/>
        </w:tabs>
        <w:ind w:leftChars="600" w:left="1620" w:hangingChars="200" w:hanging="360"/>
      </w:pPr>
      <w:rPr>
        <w:rFonts w:ascii="Wingdings" w:hAnsi="Wingdings" w:hint="default"/>
      </w:rPr>
    </w:lvl>
  </w:abstractNum>
  <w:abstractNum w:abstractNumId="6">
    <w:nsid w:val="FFFFFF82"/>
    <w:multiLevelType w:val="singleLevel"/>
    <w:tmpl w:val="79FE9480"/>
    <w:lvl w:ilvl="0">
      <w:start w:val="1"/>
      <w:numFmt w:val="bullet"/>
      <w:lvlText w:val=""/>
      <w:lvlJc w:val="left"/>
      <w:pPr>
        <w:tabs>
          <w:tab w:val="num" w:pos="1200"/>
        </w:tabs>
        <w:ind w:leftChars="400" w:left="1200" w:hangingChars="200" w:hanging="360"/>
      </w:pPr>
      <w:rPr>
        <w:rFonts w:ascii="Wingdings" w:hAnsi="Wingdings" w:hint="default"/>
      </w:rPr>
    </w:lvl>
  </w:abstractNum>
  <w:abstractNum w:abstractNumId="7">
    <w:nsid w:val="FFFFFF83"/>
    <w:multiLevelType w:val="singleLevel"/>
    <w:tmpl w:val="B38A4D1C"/>
    <w:lvl w:ilvl="0">
      <w:start w:val="1"/>
      <w:numFmt w:val="bullet"/>
      <w:lvlText w:val=""/>
      <w:lvlJc w:val="left"/>
      <w:pPr>
        <w:tabs>
          <w:tab w:val="num" w:pos="780"/>
        </w:tabs>
        <w:ind w:leftChars="200" w:left="780" w:hangingChars="200" w:hanging="360"/>
      </w:pPr>
      <w:rPr>
        <w:rFonts w:ascii="Wingdings" w:hAnsi="Wingdings" w:hint="default"/>
      </w:rPr>
    </w:lvl>
  </w:abstractNum>
  <w:abstractNum w:abstractNumId="8">
    <w:nsid w:val="FFFFFF88"/>
    <w:multiLevelType w:val="singleLevel"/>
    <w:tmpl w:val="234443BE"/>
    <w:lvl w:ilvl="0">
      <w:start w:val="1"/>
      <w:numFmt w:val="decimal"/>
      <w:lvlText w:val="%1."/>
      <w:lvlJc w:val="left"/>
      <w:pPr>
        <w:tabs>
          <w:tab w:val="num" w:pos="360"/>
        </w:tabs>
        <w:ind w:left="360" w:hangingChars="200" w:hanging="360"/>
      </w:pPr>
    </w:lvl>
  </w:abstractNum>
  <w:abstractNum w:abstractNumId="9">
    <w:nsid w:val="FFFFFF89"/>
    <w:multiLevelType w:val="singleLevel"/>
    <w:tmpl w:val="C2387018"/>
    <w:lvl w:ilvl="0">
      <w:start w:val="1"/>
      <w:numFmt w:val="bullet"/>
      <w:lvlText w:val=""/>
      <w:lvlJc w:val="left"/>
      <w:pPr>
        <w:tabs>
          <w:tab w:val="num" w:pos="360"/>
        </w:tabs>
        <w:ind w:left="360" w:hangingChars="200" w:hanging="360"/>
      </w:pPr>
      <w:rPr>
        <w:rFonts w:ascii="Wingdings" w:hAnsi="Wingdings"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spelling="clean" w:grammar="clean"/>
  <w:defaultTabStop w:val="420"/>
  <w:evenAndOddHeaders/>
  <w:drawingGridHorizontalSpacing w:val="181"/>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ZGYyNWIxNjUxNTg5MTAyMmRhODhlNjJlOTYyMGM1MWUifQ=="/>
  </w:docVars>
  <w:rsids>
    <w:rsidRoot w:val="002D6C55"/>
    <w:rsid w:val="000051BA"/>
    <w:rsid w:val="00007DC9"/>
    <w:rsid w:val="00022FF2"/>
    <w:rsid w:val="000246CF"/>
    <w:rsid w:val="00026B55"/>
    <w:rsid w:val="000300E0"/>
    <w:rsid w:val="0004157A"/>
    <w:rsid w:val="00041639"/>
    <w:rsid w:val="00046FD0"/>
    <w:rsid w:val="00060A39"/>
    <w:rsid w:val="00060B3A"/>
    <w:rsid w:val="000658AA"/>
    <w:rsid w:val="00070A8B"/>
    <w:rsid w:val="000720A0"/>
    <w:rsid w:val="00072E51"/>
    <w:rsid w:val="000831A5"/>
    <w:rsid w:val="00092662"/>
    <w:rsid w:val="00093500"/>
    <w:rsid w:val="00094871"/>
    <w:rsid w:val="000A67EC"/>
    <w:rsid w:val="000B1F15"/>
    <w:rsid w:val="000B47FF"/>
    <w:rsid w:val="000B743D"/>
    <w:rsid w:val="000C4793"/>
    <w:rsid w:val="000D7352"/>
    <w:rsid w:val="000E4EE9"/>
    <w:rsid w:val="000E5187"/>
    <w:rsid w:val="000E56CF"/>
    <w:rsid w:val="000E6D88"/>
    <w:rsid w:val="000F150B"/>
    <w:rsid w:val="000F2196"/>
    <w:rsid w:val="000F2D91"/>
    <w:rsid w:val="000F5EBA"/>
    <w:rsid w:val="00105524"/>
    <w:rsid w:val="00105EA6"/>
    <w:rsid w:val="001066EE"/>
    <w:rsid w:val="00106D59"/>
    <w:rsid w:val="001211C7"/>
    <w:rsid w:val="001252FD"/>
    <w:rsid w:val="00125415"/>
    <w:rsid w:val="00133F36"/>
    <w:rsid w:val="00141FB6"/>
    <w:rsid w:val="00156266"/>
    <w:rsid w:val="001614DD"/>
    <w:rsid w:val="001617A2"/>
    <w:rsid w:val="00162880"/>
    <w:rsid w:val="0016489F"/>
    <w:rsid w:val="0016665A"/>
    <w:rsid w:val="00170A71"/>
    <w:rsid w:val="001A7520"/>
    <w:rsid w:val="001B131A"/>
    <w:rsid w:val="001B153F"/>
    <w:rsid w:val="001B6523"/>
    <w:rsid w:val="001B6677"/>
    <w:rsid w:val="001D4E14"/>
    <w:rsid w:val="001D5662"/>
    <w:rsid w:val="001E1AB1"/>
    <w:rsid w:val="00205B52"/>
    <w:rsid w:val="002064F7"/>
    <w:rsid w:val="00206B2B"/>
    <w:rsid w:val="0021638E"/>
    <w:rsid w:val="002216B9"/>
    <w:rsid w:val="0023259F"/>
    <w:rsid w:val="00233F94"/>
    <w:rsid w:val="00235183"/>
    <w:rsid w:val="00241E35"/>
    <w:rsid w:val="002428F9"/>
    <w:rsid w:val="00253813"/>
    <w:rsid w:val="0025742F"/>
    <w:rsid w:val="002671B1"/>
    <w:rsid w:val="00271C80"/>
    <w:rsid w:val="00277543"/>
    <w:rsid w:val="00281EEF"/>
    <w:rsid w:val="0028710F"/>
    <w:rsid w:val="002A0E27"/>
    <w:rsid w:val="002A0E47"/>
    <w:rsid w:val="002A1765"/>
    <w:rsid w:val="002A1BB0"/>
    <w:rsid w:val="002A7E25"/>
    <w:rsid w:val="002B5E8C"/>
    <w:rsid w:val="002C11D2"/>
    <w:rsid w:val="002D6C55"/>
    <w:rsid w:val="002E52C2"/>
    <w:rsid w:val="002E71C4"/>
    <w:rsid w:val="0030431D"/>
    <w:rsid w:val="00311EB0"/>
    <w:rsid w:val="00313AEE"/>
    <w:rsid w:val="0031621E"/>
    <w:rsid w:val="00327650"/>
    <w:rsid w:val="00334544"/>
    <w:rsid w:val="003370AB"/>
    <w:rsid w:val="00337E4D"/>
    <w:rsid w:val="003407E4"/>
    <w:rsid w:val="00340D0A"/>
    <w:rsid w:val="00342C41"/>
    <w:rsid w:val="00344576"/>
    <w:rsid w:val="00356973"/>
    <w:rsid w:val="00356AAC"/>
    <w:rsid w:val="00357579"/>
    <w:rsid w:val="00357968"/>
    <w:rsid w:val="0036275A"/>
    <w:rsid w:val="00374592"/>
    <w:rsid w:val="00384827"/>
    <w:rsid w:val="003854B1"/>
    <w:rsid w:val="003871CA"/>
    <w:rsid w:val="003902DE"/>
    <w:rsid w:val="00390825"/>
    <w:rsid w:val="00394561"/>
    <w:rsid w:val="00395336"/>
    <w:rsid w:val="003B50D6"/>
    <w:rsid w:val="003C0536"/>
    <w:rsid w:val="003D7E4C"/>
    <w:rsid w:val="003E737D"/>
    <w:rsid w:val="003F534F"/>
    <w:rsid w:val="003F661F"/>
    <w:rsid w:val="00403942"/>
    <w:rsid w:val="00422EA0"/>
    <w:rsid w:val="00424C9C"/>
    <w:rsid w:val="00431DB2"/>
    <w:rsid w:val="00432CA7"/>
    <w:rsid w:val="004358E6"/>
    <w:rsid w:val="00440B14"/>
    <w:rsid w:val="00447D9F"/>
    <w:rsid w:val="00454D12"/>
    <w:rsid w:val="00463561"/>
    <w:rsid w:val="004724D5"/>
    <w:rsid w:val="00473BA4"/>
    <w:rsid w:val="004745A3"/>
    <w:rsid w:val="0048272B"/>
    <w:rsid w:val="00493ABE"/>
    <w:rsid w:val="004A69A0"/>
    <w:rsid w:val="004B0465"/>
    <w:rsid w:val="004B1A57"/>
    <w:rsid w:val="004B2619"/>
    <w:rsid w:val="004B7D8C"/>
    <w:rsid w:val="004C1EAA"/>
    <w:rsid w:val="004C4DF7"/>
    <w:rsid w:val="004C569C"/>
    <w:rsid w:val="004F5158"/>
    <w:rsid w:val="00506C84"/>
    <w:rsid w:val="005142A1"/>
    <w:rsid w:val="00517CAB"/>
    <w:rsid w:val="00536EBF"/>
    <w:rsid w:val="0053713F"/>
    <w:rsid w:val="005433C2"/>
    <w:rsid w:val="005502F2"/>
    <w:rsid w:val="00562083"/>
    <w:rsid w:val="0057423C"/>
    <w:rsid w:val="0058350A"/>
    <w:rsid w:val="00586344"/>
    <w:rsid w:val="005928B1"/>
    <w:rsid w:val="00594376"/>
    <w:rsid w:val="005A3B1C"/>
    <w:rsid w:val="005A56F6"/>
    <w:rsid w:val="005A6C12"/>
    <w:rsid w:val="005C1972"/>
    <w:rsid w:val="005D3469"/>
    <w:rsid w:val="005E1766"/>
    <w:rsid w:val="005E2A4A"/>
    <w:rsid w:val="005E48B7"/>
    <w:rsid w:val="005F1B3D"/>
    <w:rsid w:val="00602816"/>
    <w:rsid w:val="00604ACB"/>
    <w:rsid w:val="00606C5B"/>
    <w:rsid w:val="00612F03"/>
    <w:rsid w:val="006171AA"/>
    <w:rsid w:val="006178C3"/>
    <w:rsid w:val="00621BAF"/>
    <w:rsid w:val="0062410E"/>
    <w:rsid w:val="0062678C"/>
    <w:rsid w:val="00626CE8"/>
    <w:rsid w:val="00661621"/>
    <w:rsid w:val="00663037"/>
    <w:rsid w:val="006711F4"/>
    <w:rsid w:val="0068140B"/>
    <w:rsid w:val="00685825"/>
    <w:rsid w:val="0069347C"/>
    <w:rsid w:val="006B086F"/>
    <w:rsid w:val="006D2483"/>
    <w:rsid w:val="006E1737"/>
    <w:rsid w:val="006E1FF4"/>
    <w:rsid w:val="006E7630"/>
    <w:rsid w:val="006F0A7E"/>
    <w:rsid w:val="006F6FC3"/>
    <w:rsid w:val="006F7D77"/>
    <w:rsid w:val="00715180"/>
    <w:rsid w:val="00720A73"/>
    <w:rsid w:val="00720CAF"/>
    <w:rsid w:val="00724377"/>
    <w:rsid w:val="007276B4"/>
    <w:rsid w:val="00733E0F"/>
    <w:rsid w:val="00745D25"/>
    <w:rsid w:val="007506EE"/>
    <w:rsid w:val="0075447F"/>
    <w:rsid w:val="00754A2D"/>
    <w:rsid w:val="007643CE"/>
    <w:rsid w:val="00766157"/>
    <w:rsid w:val="00767F68"/>
    <w:rsid w:val="0077490A"/>
    <w:rsid w:val="007775EF"/>
    <w:rsid w:val="00787E3C"/>
    <w:rsid w:val="007A51E0"/>
    <w:rsid w:val="007A6544"/>
    <w:rsid w:val="007A7FD3"/>
    <w:rsid w:val="007B2410"/>
    <w:rsid w:val="007C01D1"/>
    <w:rsid w:val="007C5705"/>
    <w:rsid w:val="007D13B8"/>
    <w:rsid w:val="007D4275"/>
    <w:rsid w:val="007D77CE"/>
    <w:rsid w:val="00802CDC"/>
    <w:rsid w:val="00805E1D"/>
    <w:rsid w:val="00813FEC"/>
    <w:rsid w:val="00814E29"/>
    <w:rsid w:val="00823C1E"/>
    <w:rsid w:val="00826D77"/>
    <w:rsid w:val="0083338D"/>
    <w:rsid w:val="00855283"/>
    <w:rsid w:val="008701AB"/>
    <w:rsid w:val="0087139A"/>
    <w:rsid w:val="00877798"/>
    <w:rsid w:val="008802DB"/>
    <w:rsid w:val="00881967"/>
    <w:rsid w:val="00885F48"/>
    <w:rsid w:val="00890F76"/>
    <w:rsid w:val="0089274E"/>
    <w:rsid w:val="00897E2D"/>
    <w:rsid w:val="008A08FA"/>
    <w:rsid w:val="008C5717"/>
    <w:rsid w:val="008E70E5"/>
    <w:rsid w:val="008F50DB"/>
    <w:rsid w:val="008F5238"/>
    <w:rsid w:val="008F7723"/>
    <w:rsid w:val="00902BDD"/>
    <w:rsid w:val="00904BC8"/>
    <w:rsid w:val="00911248"/>
    <w:rsid w:val="009137B4"/>
    <w:rsid w:val="00913A4E"/>
    <w:rsid w:val="00925F75"/>
    <w:rsid w:val="00931EB4"/>
    <w:rsid w:val="00971108"/>
    <w:rsid w:val="0097410F"/>
    <w:rsid w:val="00974280"/>
    <w:rsid w:val="00974393"/>
    <w:rsid w:val="0097704C"/>
    <w:rsid w:val="00986E71"/>
    <w:rsid w:val="00992211"/>
    <w:rsid w:val="009942EB"/>
    <w:rsid w:val="009A1862"/>
    <w:rsid w:val="009A78E1"/>
    <w:rsid w:val="009A7FCF"/>
    <w:rsid w:val="009B548C"/>
    <w:rsid w:val="009D18B6"/>
    <w:rsid w:val="009E6F62"/>
    <w:rsid w:val="009E7F86"/>
    <w:rsid w:val="009F1030"/>
    <w:rsid w:val="009F1B6D"/>
    <w:rsid w:val="00A02039"/>
    <w:rsid w:val="00A04BD7"/>
    <w:rsid w:val="00A20EDD"/>
    <w:rsid w:val="00A211EA"/>
    <w:rsid w:val="00A212C7"/>
    <w:rsid w:val="00A23406"/>
    <w:rsid w:val="00A27EDD"/>
    <w:rsid w:val="00A35D41"/>
    <w:rsid w:val="00A40953"/>
    <w:rsid w:val="00A459E3"/>
    <w:rsid w:val="00A571FE"/>
    <w:rsid w:val="00A636AF"/>
    <w:rsid w:val="00A773EC"/>
    <w:rsid w:val="00AA03DB"/>
    <w:rsid w:val="00AA164E"/>
    <w:rsid w:val="00AA3B2D"/>
    <w:rsid w:val="00AA7268"/>
    <w:rsid w:val="00AB0D6D"/>
    <w:rsid w:val="00AB68DD"/>
    <w:rsid w:val="00AC2B0B"/>
    <w:rsid w:val="00AC4F2A"/>
    <w:rsid w:val="00AD35D8"/>
    <w:rsid w:val="00AD6BB8"/>
    <w:rsid w:val="00AF6D19"/>
    <w:rsid w:val="00B018B8"/>
    <w:rsid w:val="00B1436F"/>
    <w:rsid w:val="00B17FDC"/>
    <w:rsid w:val="00B22148"/>
    <w:rsid w:val="00B25C4D"/>
    <w:rsid w:val="00B32A99"/>
    <w:rsid w:val="00B364E6"/>
    <w:rsid w:val="00B47C30"/>
    <w:rsid w:val="00B47F03"/>
    <w:rsid w:val="00B62010"/>
    <w:rsid w:val="00B6417D"/>
    <w:rsid w:val="00B712AC"/>
    <w:rsid w:val="00B82084"/>
    <w:rsid w:val="00B95E1A"/>
    <w:rsid w:val="00BB4808"/>
    <w:rsid w:val="00BC4000"/>
    <w:rsid w:val="00BD62E5"/>
    <w:rsid w:val="00BD715F"/>
    <w:rsid w:val="00BD7A11"/>
    <w:rsid w:val="00BE0134"/>
    <w:rsid w:val="00BE421E"/>
    <w:rsid w:val="00BE428E"/>
    <w:rsid w:val="00BE6A42"/>
    <w:rsid w:val="00BF009A"/>
    <w:rsid w:val="00BF2167"/>
    <w:rsid w:val="00BF4E21"/>
    <w:rsid w:val="00BF6AB5"/>
    <w:rsid w:val="00C03182"/>
    <w:rsid w:val="00C10C97"/>
    <w:rsid w:val="00C14022"/>
    <w:rsid w:val="00C41CE2"/>
    <w:rsid w:val="00C452E4"/>
    <w:rsid w:val="00C53D36"/>
    <w:rsid w:val="00C57E0D"/>
    <w:rsid w:val="00C636EE"/>
    <w:rsid w:val="00C7181C"/>
    <w:rsid w:val="00C73C73"/>
    <w:rsid w:val="00C748B2"/>
    <w:rsid w:val="00C75F27"/>
    <w:rsid w:val="00C76A21"/>
    <w:rsid w:val="00C85BE4"/>
    <w:rsid w:val="00CA3B61"/>
    <w:rsid w:val="00CB05CD"/>
    <w:rsid w:val="00CB268F"/>
    <w:rsid w:val="00CD046D"/>
    <w:rsid w:val="00CD15F8"/>
    <w:rsid w:val="00CD207F"/>
    <w:rsid w:val="00CF0128"/>
    <w:rsid w:val="00CF0812"/>
    <w:rsid w:val="00CF245A"/>
    <w:rsid w:val="00CF41FE"/>
    <w:rsid w:val="00CF4321"/>
    <w:rsid w:val="00CF5E94"/>
    <w:rsid w:val="00CF7BE1"/>
    <w:rsid w:val="00D0443A"/>
    <w:rsid w:val="00D07F94"/>
    <w:rsid w:val="00D16B69"/>
    <w:rsid w:val="00D21DEB"/>
    <w:rsid w:val="00D3514F"/>
    <w:rsid w:val="00D5052C"/>
    <w:rsid w:val="00D6266A"/>
    <w:rsid w:val="00D91F48"/>
    <w:rsid w:val="00D937CE"/>
    <w:rsid w:val="00D97443"/>
    <w:rsid w:val="00DB1764"/>
    <w:rsid w:val="00DB2440"/>
    <w:rsid w:val="00DB3C8A"/>
    <w:rsid w:val="00DB5F18"/>
    <w:rsid w:val="00DC5F89"/>
    <w:rsid w:val="00DD0C51"/>
    <w:rsid w:val="00DD7AE6"/>
    <w:rsid w:val="00E06E17"/>
    <w:rsid w:val="00E11578"/>
    <w:rsid w:val="00E2376E"/>
    <w:rsid w:val="00E25C09"/>
    <w:rsid w:val="00E35402"/>
    <w:rsid w:val="00E379EC"/>
    <w:rsid w:val="00E42D97"/>
    <w:rsid w:val="00E42DA2"/>
    <w:rsid w:val="00E47E0D"/>
    <w:rsid w:val="00E526C3"/>
    <w:rsid w:val="00E56A87"/>
    <w:rsid w:val="00E56E52"/>
    <w:rsid w:val="00E854B0"/>
    <w:rsid w:val="00E9403C"/>
    <w:rsid w:val="00E95215"/>
    <w:rsid w:val="00E956E5"/>
    <w:rsid w:val="00E95DF8"/>
    <w:rsid w:val="00E97496"/>
    <w:rsid w:val="00EB642C"/>
    <w:rsid w:val="00EB67B5"/>
    <w:rsid w:val="00EB6A82"/>
    <w:rsid w:val="00EB79DB"/>
    <w:rsid w:val="00EE1F86"/>
    <w:rsid w:val="00EE4190"/>
    <w:rsid w:val="00F01156"/>
    <w:rsid w:val="00F11389"/>
    <w:rsid w:val="00F11CAA"/>
    <w:rsid w:val="00F14865"/>
    <w:rsid w:val="00F3114F"/>
    <w:rsid w:val="00F3147A"/>
    <w:rsid w:val="00F31FF1"/>
    <w:rsid w:val="00F347B6"/>
    <w:rsid w:val="00F37571"/>
    <w:rsid w:val="00F44A15"/>
    <w:rsid w:val="00F46B3C"/>
    <w:rsid w:val="00F4779A"/>
    <w:rsid w:val="00F64D94"/>
    <w:rsid w:val="00F70562"/>
    <w:rsid w:val="00F744B5"/>
    <w:rsid w:val="00F745A1"/>
    <w:rsid w:val="00F74986"/>
    <w:rsid w:val="00F845F5"/>
    <w:rsid w:val="00F84788"/>
    <w:rsid w:val="00F865EA"/>
    <w:rsid w:val="00F90AF4"/>
    <w:rsid w:val="00F92C7B"/>
    <w:rsid w:val="00FA21BD"/>
    <w:rsid w:val="00FB3DE0"/>
    <w:rsid w:val="00FB46C7"/>
    <w:rsid w:val="00FC2B5F"/>
    <w:rsid w:val="00FD0009"/>
    <w:rsid w:val="00FD51B5"/>
    <w:rsid w:val="00FF402A"/>
    <w:rsid w:val="00FF690A"/>
    <w:rsid w:val="24F75D8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qFormat="1"/>
    <w:lsdException w:name="caption" w:semiHidden="1" w:unhideWhenUsed="1" w:qFormat="1"/>
    <w:lsdException w:name="Title" w:qFormat="1"/>
    <w:lsdException w:name="Default Paragraph Font" w:semiHidden="1" w:uiPriority="1" w:unhideWhenUsed="1"/>
    <w:lsdException w:name="Subtitle" w:qFormat="1"/>
    <w:lsdException w:name="Strong" w:qFormat="1"/>
    <w:lsdException w:name="Emphasis" w:qFormat="1"/>
    <w:lsdException w:name="Plain Text" w:uiPriority="99"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Char"/>
    <w:uiPriority w:val="99"/>
    <w:qFormat/>
    <w:rPr>
      <w:rFonts w:ascii="宋体" w:hAnsi="Courier New" w:cs="Courier New"/>
      <w:szCs w:val="21"/>
    </w:rPr>
  </w:style>
  <w:style w:type="paragraph" w:styleId="a4">
    <w:name w:val="Balloon Text"/>
    <w:basedOn w:val="a"/>
    <w:link w:val="Char0"/>
    <w:qFormat/>
    <w:rPr>
      <w:sz w:val="18"/>
      <w:szCs w:val="18"/>
    </w:rPr>
  </w:style>
  <w:style w:type="paragraph" w:styleId="a5">
    <w:name w:val="footer"/>
    <w:basedOn w:val="a"/>
    <w:qFormat/>
    <w:pPr>
      <w:tabs>
        <w:tab w:val="center" w:pos="4153"/>
        <w:tab w:val="right" w:pos="8306"/>
      </w:tabs>
      <w:snapToGrid w:val="0"/>
      <w:jc w:val="left"/>
    </w:pPr>
    <w:rPr>
      <w:sz w:val="18"/>
      <w:szCs w:val="18"/>
    </w:rPr>
  </w:style>
  <w:style w:type="paragraph" w:styleId="a6">
    <w:name w:val="header"/>
    <w:basedOn w:val="a"/>
    <w:link w:val="Char1"/>
    <w:rsid w:val="0062678C"/>
    <w:pPr>
      <w:tabs>
        <w:tab w:val="center" w:pos="4153"/>
        <w:tab w:val="right" w:pos="8306"/>
      </w:tabs>
      <w:snapToGrid w:val="0"/>
      <w:jc w:val="center"/>
    </w:pPr>
    <w:rPr>
      <w:sz w:val="18"/>
      <w:szCs w:val="18"/>
    </w:rPr>
  </w:style>
  <w:style w:type="character" w:styleId="a7">
    <w:name w:val="page number"/>
    <w:basedOn w:val="a0"/>
  </w:style>
  <w:style w:type="paragraph" w:customStyle="1" w:styleId="ParaCharCharCharCharCharCharChar">
    <w:name w:val="默认段落字体 Para Char Char Char Char Char Char Char"/>
    <w:basedOn w:val="a"/>
  </w:style>
  <w:style w:type="character" w:customStyle="1" w:styleId="Char1">
    <w:name w:val="页眉 Char"/>
    <w:basedOn w:val="a0"/>
    <w:link w:val="a6"/>
    <w:qFormat/>
    <w:rsid w:val="0062678C"/>
    <w:rPr>
      <w:kern w:val="2"/>
      <w:sz w:val="18"/>
      <w:szCs w:val="18"/>
    </w:rPr>
  </w:style>
  <w:style w:type="character" w:customStyle="1" w:styleId="Char0">
    <w:name w:val="批注框文本 Char"/>
    <w:basedOn w:val="a0"/>
    <w:link w:val="a4"/>
    <w:rPr>
      <w:kern w:val="2"/>
      <w:sz w:val="18"/>
      <w:szCs w:val="18"/>
    </w:rPr>
  </w:style>
  <w:style w:type="character" w:customStyle="1" w:styleId="Char">
    <w:name w:val="纯文本 Char"/>
    <w:basedOn w:val="a0"/>
    <w:link w:val="a3"/>
    <w:uiPriority w:val="99"/>
    <w:rPr>
      <w:rFonts w:ascii="宋体" w:hAnsi="Courier New" w:cs="Courier New"/>
      <w:kern w:val="2"/>
      <w:sz w:val="21"/>
      <w:szCs w:val="21"/>
    </w:rPr>
  </w:style>
  <w:style w:type="paragraph" w:customStyle="1" w:styleId="a8">
    <w:name w:val="法 标题"/>
    <w:qFormat/>
    <w:rsid w:val="00902BDD"/>
    <w:pPr>
      <w:widowControl w:val="0"/>
      <w:spacing w:line="560" w:lineRule="exact"/>
      <w:jc w:val="center"/>
    </w:pPr>
    <w:rPr>
      <w:rFonts w:ascii="仿宋_GB2312" w:hAnsi="仿宋_GB2312" w:cs="仿宋_GB2312"/>
      <w:kern w:val="2"/>
      <w:sz w:val="44"/>
      <w:szCs w:val="32"/>
    </w:rPr>
  </w:style>
  <w:style w:type="paragraph" w:customStyle="1" w:styleId="a9">
    <w:name w:val="法 法释"/>
    <w:qFormat/>
    <w:rsid w:val="00902BDD"/>
    <w:pPr>
      <w:widowControl w:val="0"/>
      <w:spacing w:line="560" w:lineRule="exact"/>
      <w:jc w:val="center"/>
    </w:pPr>
    <w:rPr>
      <w:rFonts w:ascii="楷体_GB2312" w:eastAsia="楷体_GB2312" w:hAnsi="宋体" w:cs="宋体"/>
      <w:kern w:val="2"/>
      <w:sz w:val="32"/>
      <w:szCs w:val="30"/>
    </w:rPr>
  </w:style>
  <w:style w:type="paragraph" w:customStyle="1" w:styleId="aa">
    <w:name w:val="法 法释后"/>
    <w:qFormat/>
    <w:rsid w:val="00902BDD"/>
    <w:pPr>
      <w:widowControl w:val="0"/>
      <w:spacing w:line="560" w:lineRule="exact"/>
      <w:ind w:leftChars="300" w:left="300" w:rightChars="300" w:right="300"/>
      <w:jc w:val="both"/>
    </w:pPr>
    <w:rPr>
      <w:rFonts w:ascii="楷体_GB2312" w:eastAsia="楷体_GB2312" w:hAnsi="楷体" w:cs="宋体"/>
      <w:kern w:val="2"/>
      <w:sz w:val="32"/>
      <w:szCs w:val="30"/>
    </w:rPr>
  </w:style>
  <w:style w:type="paragraph" w:customStyle="1" w:styleId="ab">
    <w:name w:val="法 正文"/>
    <w:qFormat/>
    <w:rsid w:val="00902BDD"/>
    <w:pPr>
      <w:widowControl w:val="0"/>
      <w:spacing w:line="560" w:lineRule="exact"/>
      <w:ind w:firstLineChars="200" w:firstLine="200"/>
      <w:jc w:val="both"/>
    </w:pPr>
    <w:rPr>
      <w:rFonts w:ascii="仿宋_GB2312" w:eastAsia="仿宋_GB2312" w:hAnsi="宋体" w:cs="宋体"/>
      <w:kern w:val="2"/>
      <w:sz w:val="32"/>
      <w:szCs w:val="30"/>
    </w:rPr>
  </w:style>
  <w:style w:type="character" w:customStyle="1" w:styleId="ac">
    <w:name w:val="黑体　三号"/>
    <w:basedOn w:val="a0"/>
    <w:uiPriority w:val="1"/>
    <w:qFormat/>
    <w:rsid w:val="00902BDD"/>
    <w:rPr>
      <w:rFonts w:eastAsia="黑体"/>
      <w:sz w:val="32"/>
    </w:rPr>
  </w:style>
  <w:style w:type="paragraph" w:customStyle="1" w:styleId="ad">
    <w:name w:val="法 页码 偶"/>
    <w:qFormat/>
    <w:rsid w:val="009137B4"/>
    <w:pPr>
      <w:widowControl w:val="0"/>
      <w:spacing w:line="560" w:lineRule="exact"/>
      <w:ind w:rightChars="-180" w:right="-180"/>
      <w:jc w:val="right"/>
    </w:pPr>
    <w:rPr>
      <w:rFonts w:ascii="宋体"/>
      <w:kern w:val="2"/>
      <w:sz w:val="28"/>
      <w:szCs w:val="18"/>
    </w:rPr>
  </w:style>
  <w:style w:type="paragraph" w:customStyle="1" w:styleId="ae">
    <w:name w:val="法 页码 奇"/>
    <w:qFormat/>
    <w:rsid w:val="009137B4"/>
    <w:pPr>
      <w:widowControl w:val="0"/>
      <w:spacing w:line="560" w:lineRule="exact"/>
      <w:ind w:leftChars="-180" w:left="-180"/>
    </w:pPr>
    <w:rPr>
      <w:rFonts w:ascii="宋体"/>
      <w:kern w:val="2"/>
      <w:sz w:val="2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E49283-9596-4BB3-A8A1-159C03072D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7</Pages>
  <Words>478</Words>
  <Characters>2729</Characters>
  <Application>Microsoft Office Word</Application>
  <DocSecurity>0</DocSecurity>
  <Lines>22</Lines>
  <Paragraphs>6</Paragraphs>
  <ScaleCrop>false</ScaleCrop>
  <Company>Lenovo (Beijing) Limited</Company>
  <LinksUpToDate>false</LinksUpToDate>
  <CharactersWithSpaces>3201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最高人民法院、最高人民检察院关于废止1980年1月1日至1997年6月30日期间制发的部分司法解释和司法解释性质文件的决定》已于2012年11月19日由最高人民法院审判委员会第1560次会议、2012年12月19日由最高人民检察院第十一届检察委员会第83次会议通过，现予公布，自2013年1月18日起施行</dc:title>
  <dc:creator>Lenovo User</dc:creator>
  <cp:lastModifiedBy>Ren</cp:lastModifiedBy>
  <cp:revision>20</cp:revision>
  <cp:lastPrinted>2014-04-03T09:04:00Z</cp:lastPrinted>
  <dcterms:created xsi:type="dcterms:W3CDTF">2022-02-08T07:38:00Z</dcterms:created>
  <dcterms:modified xsi:type="dcterms:W3CDTF">2022-07-05T02:44:00Z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2052-11.1.0.11744</vt:lpwstr>
  </property>
  <property fmtid="{D5CDD505-2E9C-101B-9397-08002B2CF9AE}" pid="3" name="ICV">
    <vt:lpwstr>B2CC289EAC8747E68A0DFC0D1C48BEC5</vt:lpwstr>
  </property>
</Properties>
</file>