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pStyle w:val="12"/>
        <w:rPr>
          <w:rFonts w:hint="eastAsia" w:ascii="宋体" w:hAnsi="宋体" w:eastAsia="宋体" w:cs="宋体"/>
        </w:rPr>
      </w:pPr>
    </w:p>
    <w:p>
      <w:pPr>
        <w:pStyle w:val="12"/>
        <w:rPr>
          <w:rFonts w:hint="eastAsia" w:ascii="宋体" w:hAnsi="宋体" w:eastAsia="宋体" w:cs="宋体"/>
        </w:rPr>
      </w:pPr>
    </w:p>
    <w:p>
      <w:pPr>
        <w:pStyle w:val="7"/>
        <w:rPr>
          <w:rFonts w:hint="eastAsia"/>
        </w:rPr>
      </w:pPr>
      <w:r>
        <w:rPr>
          <w:rFonts w:hint="eastAsia"/>
        </w:rPr>
        <w:t>中华人民共和国最高人民法院</w:t>
      </w:r>
    </w:p>
    <w:p>
      <w:pPr>
        <w:pStyle w:val="7"/>
        <w:rPr>
          <w:rFonts w:hint="eastAsia"/>
        </w:rPr>
      </w:pPr>
      <w:r>
        <w:rPr>
          <w:rFonts w:hint="eastAsia"/>
        </w:rPr>
        <w:t>公</w:t>
      </w:r>
      <w:r>
        <w:rPr>
          <w:rFonts w:hint="eastAsia"/>
          <w:lang w:eastAsia="zh-CN"/>
        </w:rPr>
        <w:t xml:space="preserve">    </w:t>
      </w:r>
      <w:r>
        <w:rPr>
          <w:rFonts w:hint="eastAsia"/>
        </w:rPr>
        <w:t>告</w:t>
      </w:r>
    </w:p>
    <w:p>
      <w:pPr>
        <w:pStyle w:val="12"/>
        <w:rPr>
          <w:rFonts w:hint="eastAsia" w:ascii="宋体" w:hAnsi="宋体" w:eastAsia="宋体" w:cs="宋体"/>
        </w:rPr>
      </w:pPr>
    </w:p>
    <w:p>
      <w:pPr>
        <w:pStyle w:val="12"/>
        <w:rPr>
          <w:rFonts w:hint="eastAsia"/>
        </w:rPr>
      </w:pPr>
      <w:r>
        <w:rPr>
          <w:rFonts w:hint="eastAsia"/>
        </w:rPr>
        <w:t>最高人民法院《关于修改〈最高人民法院关于审理专利纠纷案件适用法律问题的若干规定〉的决定》已于2015年1月19日由最高人民法院审判委员会第1641次会议通过，现予公布，自2015年2月1日起施行。</w:t>
      </w:r>
    </w:p>
    <w:p>
      <w:pPr>
        <w:pStyle w:val="12"/>
        <w:rPr>
          <w:rFonts w:hint="eastAsia" w:ascii="宋体" w:hAnsi="宋体" w:eastAsia="宋体" w:cs="宋体"/>
        </w:rPr>
      </w:pPr>
    </w:p>
    <w:p>
      <w:pPr>
        <w:pStyle w:val="12"/>
        <w:rPr>
          <w:rFonts w:hint="eastAsia" w:ascii="宋体" w:hAnsi="宋体" w:eastAsia="宋体" w:cs="宋体"/>
        </w:rPr>
      </w:pPr>
    </w:p>
    <w:p>
      <w:pPr>
        <w:pStyle w:val="10"/>
        <w:rPr>
          <w:rFonts w:hint="eastAsia"/>
        </w:rPr>
        <w:sectPr>
          <w:footerReference r:id="rId3" w:type="default"/>
          <w:footerReference r:id="rId4" w:type="even"/>
          <w:pgSz w:w="11906" w:h="16838"/>
          <w:pgMar w:top="2098" w:right="1474" w:bottom="1984" w:left="1587" w:header="851" w:footer="1587" w:gutter="0"/>
          <w:pgNumType w:fmt="decimal" w:start="1"/>
          <w:cols w:space="720" w:num="1"/>
          <w:rtlGutter w:val="0"/>
          <w:docGrid w:type="lines" w:linePitch="312" w:charSpace="0"/>
        </w:sectPr>
      </w:pPr>
      <w:r>
        <w:rPr>
          <w:rFonts w:hint="eastAsia"/>
        </w:rPr>
        <w:t>2015年1月29日</w:t>
      </w:r>
    </w:p>
    <w:p>
      <w:pPr>
        <w:pStyle w:val="12"/>
        <w:rPr>
          <w:rFonts w:hint="eastAsia"/>
        </w:rPr>
      </w:pPr>
    </w:p>
    <w:p>
      <w:pPr>
        <w:pStyle w:val="12"/>
        <w:rPr>
          <w:rFonts w:hint="eastAsia" w:ascii="宋体" w:hAnsi="宋体" w:eastAsia="宋体" w:cs="宋体"/>
        </w:rPr>
      </w:pPr>
    </w:p>
    <w:p>
      <w:pPr>
        <w:pStyle w:val="7"/>
        <w:rPr>
          <w:rFonts w:hint="eastAsia"/>
        </w:rPr>
      </w:pPr>
      <w:r>
        <w:rPr>
          <w:rFonts w:hint="eastAsia"/>
        </w:rPr>
        <w:t>最高人民法院</w:t>
      </w:r>
    </w:p>
    <w:p>
      <w:pPr>
        <w:pStyle w:val="7"/>
        <w:rPr>
          <w:rFonts w:hint="eastAsia"/>
        </w:rPr>
      </w:pPr>
      <w:r>
        <w:rPr>
          <w:rFonts w:hint="eastAsia"/>
        </w:rPr>
        <w:t>关于修改《最高人民法院关于审理专利</w:t>
      </w:r>
    </w:p>
    <w:p>
      <w:pPr>
        <w:pStyle w:val="7"/>
        <w:rPr>
          <w:rFonts w:hint="eastAsia"/>
        </w:rPr>
      </w:pPr>
      <w:r>
        <w:rPr>
          <w:rFonts w:hint="eastAsia"/>
        </w:rPr>
        <w:t>纠纷案件适用法律问题的若干规定》的决定</w:t>
      </w:r>
    </w:p>
    <w:p>
      <w:pPr>
        <w:pStyle w:val="12"/>
        <w:rPr>
          <w:rFonts w:hint="eastAsia" w:ascii="宋体" w:hAnsi="宋体" w:eastAsia="宋体" w:cs="宋体"/>
        </w:rPr>
      </w:pPr>
    </w:p>
    <w:p>
      <w:pPr>
        <w:pStyle w:val="19"/>
        <w:rPr>
          <w:rFonts w:hint="eastAsia"/>
        </w:rPr>
      </w:pPr>
      <w:r>
        <w:rPr>
          <w:rFonts w:hint="eastAsia"/>
        </w:rPr>
        <w:t>法释〔2015〕4号</w:t>
      </w:r>
    </w:p>
    <w:p>
      <w:pPr>
        <w:pStyle w:val="12"/>
        <w:rPr>
          <w:rFonts w:hint="eastAsia" w:ascii="宋体" w:hAnsi="宋体" w:eastAsia="宋体" w:cs="宋体"/>
        </w:rPr>
      </w:pPr>
    </w:p>
    <w:p>
      <w:pPr>
        <w:pStyle w:val="12"/>
        <w:rPr>
          <w:rStyle w:val="25"/>
          <w:rFonts w:hint="eastAsia"/>
        </w:rPr>
      </w:pPr>
      <w:r>
        <w:rPr>
          <w:rFonts w:hint="eastAsia"/>
        </w:rPr>
        <w:t>根据最高人民法院审判委员会第1641次会议决定，对《最高人民法院关于审理专利纠纷案件适用法律问题的若干规定》作如下修改：</w:t>
      </w:r>
    </w:p>
    <w:p>
      <w:pPr>
        <w:pStyle w:val="12"/>
        <w:rPr>
          <w:rStyle w:val="25"/>
          <w:rFonts w:hint="eastAsia"/>
        </w:rPr>
      </w:pPr>
      <w:r>
        <w:rPr>
          <w:rStyle w:val="25"/>
          <w:rFonts w:hint="eastAsia"/>
        </w:rPr>
        <w:t>一、</w:t>
      </w:r>
      <w:r>
        <w:rPr>
          <w:rFonts w:hint="eastAsia"/>
        </w:rPr>
        <w:t>将第五条第二款修改为</w:t>
      </w:r>
      <w:r>
        <w:rPr>
          <w:rFonts w:hint="eastAsia"/>
          <w:lang w:eastAsia="zh-CN"/>
        </w:rPr>
        <w:t>：</w:t>
      </w:r>
      <w:r>
        <w:rPr>
          <w:rFonts w:hint="eastAsia"/>
        </w:rPr>
        <w:t>“侵权行为地包括：被诉侵犯发明、实用新型专利权的产品的制造、使用、许诺销售、销售、进口等行为的实施地；专利方法使用行为的实施地，依照该专利方法直接获得的产品的使用、许诺销售、销售、进口等行为的实施地；外观设计专利产品的制造、许诺销售、销售、进口等行为的实施地；假冒他人专利的行为实施地。上述侵权行为的侵权结果发生地。”</w:t>
      </w:r>
    </w:p>
    <w:p>
      <w:pPr>
        <w:pStyle w:val="12"/>
        <w:rPr>
          <w:rStyle w:val="25"/>
          <w:rFonts w:hint="eastAsia"/>
        </w:rPr>
      </w:pPr>
      <w:r>
        <w:rPr>
          <w:rStyle w:val="25"/>
          <w:rFonts w:hint="eastAsia"/>
        </w:rPr>
        <w:t>二、</w:t>
      </w:r>
      <w:r>
        <w:rPr>
          <w:rFonts w:hint="eastAsia"/>
        </w:rPr>
        <w:t>将第八条第一款修改为</w:t>
      </w:r>
      <w:r>
        <w:rPr>
          <w:rFonts w:hint="eastAsia"/>
          <w:lang w:eastAsia="zh-CN"/>
        </w:rPr>
        <w:t>：</w:t>
      </w:r>
      <w:r>
        <w:rPr>
          <w:rFonts w:hint="eastAsia"/>
        </w:rPr>
        <w:t>“对申请日在2009年10月1日前（不含该日）的实用新型专利提起侵犯专利权诉讼，原告可以出具由国务院专利行政部门作出的检索报告；对申请日在2009年10月1日以后的实用新型或者外观设计专利提起侵犯专利权诉讼，原告可以出具由国务院专利行政部门作出的专利权评价报告。根据案件审理需要，人民法院可以要求原告提交检索报告或者专利权评价报告。原告无正当理由不提交的，人民法院可以裁定中止诉讼或者判令原告承担可能的不利后果。”</w:t>
      </w:r>
    </w:p>
    <w:p>
      <w:pPr>
        <w:pStyle w:val="12"/>
        <w:rPr>
          <w:rStyle w:val="25"/>
          <w:rFonts w:hint="eastAsia"/>
        </w:rPr>
      </w:pPr>
      <w:r>
        <w:rPr>
          <w:rStyle w:val="25"/>
          <w:rFonts w:hint="eastAsia"/>
        </w:rPr>
        <w:t>三、</w:t>
      </w:r>
      <w:r>
        <w:rPr>
          <w:rFonts w:hint="eastAsia"/>
        </w:rPr>
        <w:t>将第九条第一项修改为</w:t>
      </w:r>
      <w:r>
        <w:rPr>
          <w:rFonts w:hint="eastAsia"/>
          <w:lang w:eastAsia="zh-CN"/>
        </w:rPr>
        <w:t>：</w:t>
      </w:r>
      <w:r>
        <w:rPr>
          <w:rFonts w:hint="eastAsia"/>
        </w:rPr>
        <w:t>“（一）原告出具的检索报告或者专利权评价报告未发现导致实用新型或者外观设计专利权无效的事由的；”</w:t>
      </w:r>
    </w:p>
    <w:p>
      <w:pPr>
        <w:pStyle w:val="12"/>
        <w:rPr>
          <w:rFonts w:hint="eastAsia"/>
        </w:rPr>
      </w:pPr>
      <w:r>
        <w:rPr>
          <w:rStyle w:val="25"/>
          <w:rFonts w:hint="eastAsia"/>
        </w:rPr>
        <w:t>四、</w:t>
      </w:r>
      <w:r>
        <w:rPr>
          <w:rFonts w:hint="eastAsia"/>
        </w:rPr>
        <w:t>将第十七条修改为</w:t>
      </w:r>
      <w:r>
        <w:rPr>
          <w:rFonts w:hint="eastAsia"/>
          <w:lang w:eastAsia="zh-CN"/>
        </w:rPr>
        <w:t>：</w:t>
      </w:r>
      <w:r>
        <w:rPr>
          <w:rFonts w:hint="eastAsia"/>
        </w:rPr>
        <w:t>“专利法第五十九条第一款所称的‘发明或者实用新型专利权的保护范围以其权利要求的内容为准，说明书及附图可以用于解释权利要求的内容’，是指专利权的保护范围应当以权利要求记载的全部技术特征所确定的范围为准，也包括与该技术特征相等同的特征所确定的范围。</w:t>
      </w:r>
    </w:p>
    <w:p>
      <w:pPr>
        <w:pStyle w:val="12"/>
        <w:rPr>
          <w:rStyle w:val="25"/>
          <w:rFonts w:hint="eastAsia"/>
        </w:rPr>
      </w:pPr>
      <w:r>
        <w:rPr>
          <w:rFonts w:hint="eastAsia"/>
        </w:rPr>
        <w:t>“等同特征，是指与所记载的技术特征以基本相同的手段，实现基本相同的功能，达到基本相同的效果，并且本领域普通技术人员在被诉侵权行为发生时无需经过创造性劳动就能够联想到的特征。”</w:t>
      </w:r>
    </w:p>
    <w:p>
      <w:pPr>
        <w:pStyle w:val="12"/>
        <w:rPr>
          <w:rStyle w:val="25"/>
          <w:rFonts w:hint="eastAsia"/>
        </w:rPr>
      </w:pPr>
      <w:r>
        <w:rPr>
          <w:rStyle w:val="25"/>
          <w:rFonts w:hint="eastAsia"/>
        </w:rPr>
        <w:t>五、</w:t>
      </w:r>
      <w:r>
        <w:rPr>
          <w:rFonts w:hint="eastAsia"/>
        </w:rPr>
        <w:t>将第十八条修改为</w:t>
      </w:r>
      <w:r>
        <w:rPr>
          <w:rFonts w:hint="eastAsia"/>
          <w:lang w:eastAsia="zh-CN"/>
        </w:rPr>
        <w:t>：</w:t>
      </w:r>
      <w:r>
        <w:rPr>
          <w:rFonts w:hint="eastAsia"/>
        </w:rPr>
        <w:t>“侵犯专利权行为发生在2001年７月１日以前的，适用修改前专利法的规定确定民事责任；发生在2001年７月１日以后的，适用修改后专利法的规定确定民事责任。”</w:t>
      </w:r>
    </w:p>
    <w:p>
      <w:pPr>
        <w:pStyle w:val="12"/>
        <w:rPr>
          <w:rStyle w:val="25"/>
          <w:rFonts w:hint="eastAsia"/>
        </w:rPr>
      </w:pPr>
      <w:r>
        <w:rPr>
          <w:rStyle w:val="25"/>
          <w:rFonts w:hint="eastAsia"/>
        </w:rPr>
        <w:t>六、</w:t>
      </w:r>
      <w:r>
        <w:rPr>
          <w:rFonts w:hint="eastAsia"/>
        </w:rPr>
        <w:t>将第十九条修改为</w:t>
      </w:r>
      <w:r>
        <w:rPr>
          <w:rFonts w:hint="eastAsia"/>
          <w:lang w:eastAsia="zh-CN"/>
        </w:rPr>
        <w:t>：</w:t>
      </w:r>
      <w:r>
        <w:rPr>
          <w:rFonts w:hint="eastAsia"/>
        </w:rPr>
        <w:t>“假冒他人专利的，人民法院可以依照专利法第六十三条的规定确定其民事责任。管理专利工作的部门未给予行政处罚的，人民法院可以依照民法通则第一百三十四条第三款的规定给予民事制裁，适用民事罚款数额可以参照专利法第六十三条的规定确定。”</w:t>
      </w:r>
    </w:p>
    <w:p>
      <w:pPr>
        <w:pStyle w:val="12"/>
        <w:rPr>
          <w:rFonts w:hint="eastAsia"/>
        </w:rPr>
      </w:pPr>
      <w:r>
        <w:rPr>
          <w:rStyle w:val="25"/>
          <w:rFonts w:hint="eastAsia"/>
        </w:rPr>
        <w:t>七、</w:t>
      </w:r>
      <w:r>
        <w:rPr>
          <w:rFonts w:hint="eastAsia"/>
        </w:rPr>
        <w:t>删除第二十条第一款，第二款改为第一款并修改为</w:t>
      </w:r>
      <w:r>
        <w:rPr>
          <w:rFonts w:hint="eastAsia"/>
          <w:lang w:eastAsia="zh-CN"/>
        </w:rPr>
        <w:t>：</w:t>
      </w:r>
      <w:r>
        <w:rPr>
          <w:rFonts w:hint="eastAsia"/>
        </w:rPr>
        <w:t>“专利法第六十五条规定的权利人因被侵权所受到的实际损失可以根据专利权人的专利产品因侵权所造成销售量减少的总数乘以每件专利产品的合理利润所得之积计算。权利人销售量减少的总数难以确定的，侵权产品在市场上销售的总数乘以每件专利产品的合理利润所得之积可以视为权利人因被侵权所受到的实际损失。”</w:t>
      </w:r>
    </w:p>
    <w:p>
      <w:pPr>
        <w:pStyle w:val="12"/>
        <w:rPr>
          <w:rStyle w:val="25"/>
          <w:rFonts w:hint="eastAsia"/>
        </w:rPr>
      </w:pPr>
      <w:r>
        <w:rPr>
          <w:rFonts w:hint="eastAsia"/>
        </w:rPr>
        <w:t>第三款改为第二款，修改为</w:t>
      </w:r>
      <w:r>
        <w:rPr>
          <w:rFonts w:hint="eastAsia"/>
          <w:lang w:eastAsia="zh-CN"/>
        </w:rPr>
        <w:t>：</w:t>
      </w:r>
      <w:r>
        <w:rPr>
          <w:rFonts w:hint="eastAsia"/>
        </w:rPr>
        <w:t>“专利法第六十五条规定的侵权人因侵权所获得的利益可以根据该侵权产品在市场上销售的总数乘以每件侵权产品的合理利润所得之积计算。侵权人因侵权所获得的利益一般按照侵权人的营业利润计算，对于完全以侵权为业的侵权人，可以按照销售利润计算。”</w:t>
      </w:r>
    </w:p>
    <w:p>
      <w:pPr>
        <w:pStyle w:val="12"/>
        <w:rPr>
          <w:rStyle w:val="25"/>
          <w:rFonts w:hint="eastAsia"/>
        </w:rPr>
      </w:pPr>
      <w:r>
        <w:rPr>
          <w:rStyle w:val="25"/>
          <w:rFonts w:hint="eastAsia"/>
        </w:rPr>
        <w:t>八、</w:t>
      </w:r>
      <w:r>
        <w:rPr>
          <w:rFonts w:hint="eastAsia"/>
        </w:rPr>
        <w:t>将第二十一条修改为</w:t>
      </w:r>
      <w:r>
        <w:rPr>
          <w:rFonts w:hint="eastAsia"/>
          <w:lang w:eastAsia="zh-CN"/>
        </w:rPr>
        <w:t>：</w:t>
      </w:r>
      <w:r>
        <w:rPr>
          <w:rFonts w:hint="eastAsia"/>
        </w:rPr>
        <w:t>“权利人的损失或者侵权人获得的利益难以确定，有专利许可使用费可以参照的，人民法院可以根据专利权的类型、侵权行为的性质和情节、专利许可的性质、范围、时间等因素，参照该专利许可使用费的倍数合理确定赔偿数额；没有专利许可使用费可以参照或者专利许可使用费明显不合理的，人民法院可以根据专利权的类型、侵权行为的性质和情节等因素，依照专利法第六十五条第二款的规定确定赔偿数额。”</w:t>
      </w:r>
    </w:p>
    <w:p>
      <w:pPr>
        <w:pStyle w:val="12"/>
        <w:rPr>
          <w:rStyle w:val="25"/>
          <w:rFonts w:hint="eastAsia"/>
        </w:rPr>
      </w:pPr>
      <w:r>
        <w:rPr>
          <w:rStyle w:val="25"/>
          <w:rFonts w:hint="eastAsia"/>
        </w:rPr>
        <w:t>九、</w:t>
      </w:r>
      <w:r>
        <w:rPr>
          <w:rFonts w:hint="eastAsia"/>
        </w:rPr>
        <w:t>将第二十二条修改为</w:t>
      </w:r>
      <w:r>
        <w:rPr>
          <w:rFonts w:hint="eastAsia"/>
          <w:lang w:eastAsia="zh-CN"/>
        </w:rPr>
        <w:t>：</w:t>
      </w:r>
      <w:r>
        <w:rPr>
          <w:rFonts w:hint="eastAsia"/>
        </w:rPr>
        <w:t>“权利人主张其为制止侵权行为所支付合理开支的，人民法院可以在专利法第六十五条确定的赔偿数额之外另行计算。”</w:t>
      </w:r>
    </w:p>
    <w:p>
      <w:pPr>
        <w:pStyle w:val="12"/>
        <w:rPr>
          <w:rFonts w:hint="eastAsia"/>
        </w:rPr>
      </w:pPr>
      <w:r>
        <w:rPr>
          <w:rStyle w:val="25"/>
          <w:rFonts w:hint="eastAsia"/>
        </w:rPr>
        <w:t>十、</w:t>
      </w:r>
      <w:r>
        <w:rPr>
          <w:rFonts w:hint="eastAsia"/>
        </w:rPr>
        <w:t>将第二十四条修改为</w:t>
      </w:r>
      <w:r>
        <w:rPr>
          <w:rFonts w:hint="eastAsia"/>
          <w:lang w:eastAsia="zh-CN"/>
        </w:rPr>
        <w:t>：</w:t>
      </w:r>
      <w:r>
        <w:rPr>
          <w:rFonts w:hint="eastAsia"/>
        </w:rPr>
        <w:t>“专利法第十一条、第六十九条所称的许诺销售，是指以做广告、在商店橱窗中陈列或者在展销会上展出等方式作出销售商品的意思表示。”</w:t>
      </w:r>
    </w:p>
    <w:p>
      <w:pPr>
        <w:pStyle w:val="12"/>
        <w:rPr>
          <w:rFonts w:hint="eastAsia"/>
        </w:rPr>
      </w:pPr>
      <w:r>
        <w:rPr>
          <w:rFonts w:hint="eastAsia"/>
        </w:rPr>
        <w:t>根据本决定，将《最高人民法院关于审理专利纠纷案件适用法律问题的若干规定》作相应修改，重新公布。</w:t>
      </w:r>
    </w:p>
    <w:p>
      <w:pPr>
        <w:pStyle w:val="12"/>
        <w:rPr>
          <w:rFonts w:hint="eastAsia"/>
        </w:rPr>
      </w:pPr>
      <w:r>
        <w:rPr>
          <w:rFonts w:hint="eastAsia"/>
        </w:rPr>
        <w:br w:type="page"/>
      </w:r>
    </w:p>
    <w:p>
      <w:pPr>
        <w:pStyle w:val="12"/>
        <w:rPr>
          <w:rFonts w:hint="eastAsia" w:ascii="宋体" w:hAnsi="宋体" w:eastAsia="宋体" w:cs="宋体"/>
        </w:rPr>
      </w:pPr>
    </w:p>
    <w:p>
      <w:pPr>
        <w:pStyle w:val="12"/>
        <w:rPr>
          <w:rFonts w:hint="eastAsia" w:ascii="宋体" w:hAnsi="宋体" w:eastAsia="宋体" w:cs="宋体"/>
        </w:rPr>
      </w:pPr>
    </w:p>
    <w:p>
      <w:pPr>
        <w:pStyle w:val="7"/>
        <w:rPr>
          <w:rFonts w:hint="eastAsia"/>
        </w:rPr>
      </w:pPr>
      <w:r>
        <w:rPr>
          <w:rFonts w:hint="eastAsia"/>
        </w:rPr>
        <w:t>最高人民法院</w:t>
      </w:r>
    </w:p>
    <w:p>
      <w:pPr>
        <w:pStyle w:val="7"/>
        <w:rPr>
          <w:rFonts w:hint="eastAsia"/>
        </w:rPr>
      </w:pPr>
      <w:r>
        <w:rPr>
          <w:rFonts w:hint="eastAsia"/>
        </w:rPr>
        <w:t>关于审理专利纠纷案件适用法律</w:t>
      </w:r>
    </w:p>
    <w:p>
      <w:pPr>
        <w:pStyle w:val="7"/>
        <w:rPr>
          <w:rFonts w:hint="eastAsia"/>
        </w:rPr>
      </w:pPr>
      <w:r>
        <w:rPr>
          <w:rFonts w:hint="eastAsia"/>
        </w:rPr>
        <w:t>问题的若干规定</w:t>
      </w:r>
    </w:p>
    <w:p>
      <w:pPr>
        <w:pStyle w:val="12"/>
        <w:rPr>
          <w:rFonts w:hint="eastAsia" w:ascii="宋体" w:hAnsi="宋体" w:eastAsia="宋体" w:cs="宋体"/>
        </w:rPr>
      </w:pPr>
    </w:p>
    <w:p>
      <w:pPr>
        <w:pStyle w:val="17"/>
        <w:rPr>
          <w:rFonts w:hint="eastAsia"/>
        </w:rPr>
      </w:pPr>
      <w:r>
        <w:rPr>
          <w:rFonts w:hint="eastAsia"/>
        </w:rPr>
        <w:t>（2001年6月19日最高人民法院审判委员会第1180次会议通过</w:t>
      </w:r>
      <w:r>
        <w:rPr>
          <w:rFonts w:hint="eastAsia"/>
          <w:lang w:val="en-US" w:eastAsia="zh-CN"/>
        </w:rPr>
        <w:t>　</w:t>
      </w:r>
      <w:r>
        <w:rPr>
          <w:rFonts w:hint="eastAsia"/>
        </w:rPr>
        <w:t>根据2013年2月25日最高人民法院审判委员会第1570次会议通过的《最高人民法院关于修改〈最高人民法院关于审理专利纠纷案件适用法律问题的若干规定〉的决定》第一次修正</w:t>
      </w:r>
      <w:r>
        <w:rPr>
          <w:rFonts w:hint="eastAsia"/>
          <w:lang w:eastAsia="zh-CN"/>
        </w:rPr>
        <w:t>　</w:t>
      </w:r>
      <w:r>
        <w:rPr>
          <w:rFonts w:hint="eastAsia"/>
        </w:rPr>
        <w:t>根据2015年1月19日最高人民法院审判委员会第1641次会议通过的《最高人民法院关于修改〈最高人民法院关于审理专利纠纷案件适用法律问题的若干规定〉的决定》第二次修正，该修正自2015年2月1日起施行）</w:t>
      </w:r>
    </w:p>
    <w:p>
      <w:pPr>
        <w:pStyle w:val="12"/>
        <w:rPr>
          <w:rFonts w:hint="eastAsia" w:ascii="宋体" w:hAnsi="宋体" w:eastAsia="宋体" w:cs="宋体"/>
        </w:rPr>
      </w:pPr>
    </w:p>
    <w:p>
      <w:pPr>
        <w:pStyle w:val="12"/>
        <w:rPr>
          <w:rStyle w:val="25"/>
          <w:rFonts w:hint="eastAsia"/>
        </w:rPr>
      </w:pPr>
      <w:r>
        <w:rPr>
          <w:rFonts w:hint="eastAsia"/>
        </w:rPr>
        <w:t>为了正确审理专利纠纷案件，根据《中华人民共和国民法通则》（以下简称民法通则）、《中华人民共和国专利法》（以下简称专利法）、《中华人民共和国民事诉讼法》和《中华人民共和国行政诉讼法》等法律的规定，作如下规定：</w:t>
      </w:r>
    </w:p>
    <w:p>
      <w:pPr>
        <w:pStyle w:val="12"/>
        <w:rPr>
          <w:rFonts w:hint="eastAsia"/>
        </w:rPr>
      </w:pPr>
      <w:r>
        <w:rPr>
          <w:rStyle w:val="25"/>
          <w:rFonts w:hint="eastAsia"/>
        </w:rPr>
        <w:t>第一</w:t>
      </w:r>
      <w:r>
        <w:rPr>
          <w:rStyle w:val="25"/>
          <w:rFonts w:hint="eastAsia"/>
          <w:lang w:eastAsia="zh-CN"/>
        </w:rPr>
        <w:t>条</w:t>
      </w:r>
      <w:r>
        <w:rPr>
          <w:rFonts w:hint="eastAsia"/>
          <w:lang w:eastAsia="zh-CN"/>
        </w:rPr>
        <w:t>　</w:t>
      </w:r>
      <w:r>
        <w:rPr>
          <w:rFonts w:hint="eastAsia"/>
        </w:rPr>
        <w:t>人民法院受理下列专利纠纷案件：</w:t>
      </w:r>
    </w:p>
    <w:p>
      <w:pPr>
        <w:pStyle w:val="12"/>
        <w:rPr>
          <w:rFonts w:hint="eastAsia"/>
        </w:rPr>
      </w:pPr>
      <w:r>
        <w:rPr>
          <w:rFonts w:hint="eastAsia"/>
        </w:rPr>
        <w:t>1</w:t>
      </w:r>
      <w:r>
        <w:rPr>
          <w:rFonts w:hint="eastAsia"/>
          <w:lang w:eastAsia="zh-CN"/>
        </w:rPr>
        <w:t>.</w:t>
      </w:r>
      <w:r>
        <w:rPr>
          <w:rFonts w:hint="eastAsia"/>
        </w:rPr>
        <w:t>专利申请权纠纷案件；</w:t>
      </w:r>
    </w:p>
    <w:p>
      <w:pPr>
        <w:pStyle w:val="12"/>
        <w:rPr>
          <w:rFonts w:hint="eastAsia"/>
        </w:rPr>
      </w:pPr>
      <w:r>
        <w:rPr>
          <w:rFonts w:hint="eastAsia"/>
        </w:rPr>
        <w:t>2</w:t>
      </w:r>
      <w:r>
        <w:rPr>
          <w:rFonts w:hint="eastAsia"/>
          <w:lang w:eastAsia="zh-CN"/>
        </w:rPr>
        <w:t>.</w:t>
      </w:r>
      <w:r>
        <w:rPr>
          <w:rFonts w:hint="eastAsia"/>
        </w:rPr>
        <w:t>专利权权属纠纷案件；</w:t>
      </w:r>
    </w:p>
    <w:p>
      <w:pPr>
        <w:pStyle w:val="12"/>
        <w:rPr>
          <w:rFonts w:hint="eastAsia"/>
        </w:rPr>
      </w:pPr>
      <w:r>
        <w:rPr>
          <w:rFonts w:hint="eastAsia"/>
        </w:rPr>
        <w:t>3</w:t>
      </w:r>
      <w:r>
        <w:rPr>
          <w:rFonts w:hint="eastAsia"/>
          <w:lang w:eastAsia="zh-CN"/>
        </w:rPr>
        <w:t>.</w:t>
      </w:r>
      <w:r>
        <w:rPr>
          <w:rFonts w:hint="eastAsia"/>
        </w:rPr>
        <w:t>专利权、专利申请权转让合同纠纷案件；</w:t>
      </w:r>
    </w:p>
    <w:p>
      <w:pPr>
        <w:pStyle w:val="12"/>
        <w:rPr>
          <w:rFonts w:hint="eastAsia"/>
        </w:rPr>
      </w:pPr>
      <w:r>
        <w:rPr>
          <w:rFonts w:hint="eastAsia"/>
        </w:rPr>
        <w:t>4</w:t>
      </w:r>
      <w:r>
        <w:rPr>
          <w:rFonts w:hint="eastAsia"/>
          <w:lang w:eastAsia="zh-CN"/>
        </w:rPr>
        <w:t>.</w:t>
      </w:r>
      <w:r>
        <w:rPr>
          <w:rFonts w:hint="eastAsia"/>
        </w:rPr>
        <w:t>侵犯专利权纠纷案件；</w:t>
      </w:r>
    </w:p>
    <w:p>
      <w:pPr>
        <w:pStyle w:val="12"/>
        <w:rPr>
          <w:rFonts w:hint="eastAsia"/>
        </w:rPr>
      </w:pPr>
      <w:r>
        <w:rPr>
          <w:rFonts w:hint="eastAsia"/>
        </w:rPr>
        <w:t>5</w:t>
      </w:r>
      <w:r>
        <w:rPr>
          <w:rFonts w:hint="eastAsia"/>
          <w:lang w:eastAsia="zh-CN"/>
        </w:rPr>
        <w:t>.</w:t>
      </w:r>
      <w:r>
        <w:rPr>
          <w:rFonts w:hint="eastAsia"/>
        </w:rPr>
        <w:t>假冒他人专利纠纷案件；</w:t>
      </w:r>
    </w:p>
    <w:p>
      <w:pPr>
        <w:pStyle w:val="12"/>
        <w:rPr>
          <w:rFonts w:hint="eastAsia"/>
        </w:rPr>
      </w:pPr>
      <w:r>
        <w:rPr>
          <w:rFonts w:hint="eastAsia"/>
        </w:rPr>
        <w:t>6</w:t>
      </w:r>
      <w:r>
        <w:rPr>
          <w:rFonts w:hint="eastAsia"/>
          <w:lang w:eastAsia="zh-CN"/>
        </w:rPr>
        <w:t>.</w:t>
      </w:r>
      <w:r>
        <w:rPr>
          <w:rFonts w:hint="eastAsia"/>
        </w:rPr>
        <w:t>发明专利申请公布后、专利权授予前使用费纠纷案件；</w:t>
      </w:r>
    </w:p>
    <w:p>
      <w:pPr>
        <w:pStyle w:val="12"/>
        <w:rPr>
          <w:rFonts w:hint="eastAsia"/>
        </w:rPr>
      </w:pPr>
      <w:r>
        <w:rPr>
          <w:rFonts w:hint="eastAsia"/>
        </w:rPr>
        <w:t>7</w:t>
      </w:r>
      <w:r>
        <w:rPr>
          <w:rFonts w:hint="eastAsia"/>
          <w:lang w:eastAsia="zh-CN"/>
        </w:rPr>
        <w:t>.</w:t>
      </w:r>
      <w:r>
        <w:rPr>
          <w:rFonts w:hint="eastAsia"/>
        </w:rPr>
        <w:t>职务发明创造发明人、设计人奖励、报酬纠纷案件；</w:t>
      </w:r>
    </w:p>
    <w:p>
      <w:pPr>
        <w:pStyle w:val="12"/>
        <w:rPr>
          <w:rFonts w:hint="eastAsia"/>
        </w:rPr>
      </w:pPr>
      <w:r>
        <w:rPr>
          <w:rFonts w:hint="eastAsia"/>
        </w:rPr>
        <w:t>8</w:t>
      </w:r>
      <w:r>
        <w:rPr>
          <w:rFonts w:hint="eastAsia"/>
          <w:lang w:eastAsia="zh-CN"/>
        </w:rPr>
        <w:t>.</w:t>
      </w:r>
      <w:r>
        <w:rPr>
          <w:rFonts w:hint="eastAsia"/>
        </w:rPr>
        <w:t>诉前申请停止侵权、财产保全案件；</w:t>
      </w:r>
    </w:p>
    <w:p>
      <w:pPr>
        <w:pStyle w:val="12"/>
        <w:rPr>
          <w:rFonts w:hint="eastAsia"/>
        </w:rPr>
      </w:pPr>
      <w:r>
        <w:rPr>
          <w:rFonts w:hint="eastAsia"/>
        </w:rPr>
        <w:t>9</w:t>
      </w:r>
      <w:r>
        <w:rPr>
          <w:rFonts w:hint="eastAsia"/>
          <w:lang w:eastAsia="zh-CN"/>
        </w:rPr>
        <w:t>.</w:t>
      </w:r>
      <w:r>
        <w:rPr>
          <w:rFonts w:hint="eastAsia"/>
        </w:rPr>
        <w:t>发明人、设计人资格纠纷案件；</w:t>
      </w:r>
    </w:p>
    <w:p>
      <w:pPr>
        <w:pStyle w:val="12"/>
        <w:rPr>
          <w:rFonts w:hint="eastAsia"/>
        </w:rPr>
      </w:pPr>
      <w:r>
        <w:rPr>
          <w:rFonts w:hint="eastAsia"/>
        </w:rPr>
        <w:t>10</w:t>
      </w:r>
      <w:r>
        <w:rPr>
          <w:rFonts w:hint="eastAsia"/>
          <w:lang w:eastAsia="zh-CN"/>
        </w:rPr>
        <w:t>.</w:t>
      </w:r>
      <w:r>
        <w:rPr>
          <w:rFonts w:hint="eastAsia"/>
        </w:rPr>
        <w:t>不服专利复审委员会维持驳回申请复审决定案件；</w:t>
      </w:r>
    </w:p>
    <w:p>
      <w:pPr>
        <w:pStyle w:val="12"/>
        <w:rPr>
          <w:rFonts w:hint="eastAsia"/>
        </w:rPr>
      </w:pPr>
      <w:r>
        <w:rPr>
          <w:rFonts w:hint="eastAsia"/>
        </w:rPr>
        <w:t>11</w:t>
      </w:r>
      <w:r>
        <w:rPr>
          <w:rFonts w:hint="eastAsia"/>
          <w:lang w:eastAsia="zh-CN"/>
        </w:rPr>
        <w:t>.</w:t>
      </w:r>
      <w:r>
        <w:rPr>
          <w:rFonts w:hint="eastAsia"/>
        </w:rPr>
        <w:t>不服专利复审委员会专利权无效宣告请求决定案件；</w:t>
      </w:r>
    </w:p>
    <w:p>
      <w:pPr>
        <w:pStyle w:val="12"/>
        <w:rPr>
          <w:rFonts w:hint="eastAsia"/>
        </w:rPr>
      </w:pPr>
      <w:r>
        <w:rPr>
          <w:rFonts w:hint="eastAsia"/>
        </w:rPr>
        <w:t>12</w:t>
      </w:r>
      <w:r>
        <w:rPr>
          <w:rFonts w:hint="eastAsia"/>
          <w:lang w:eastAsia="zh-CN"/>
        </w:rPr>
        <w:t>.</w:t>
      </w:r>
      <w:r>
        <w:rPr>
          <w:rFonts w:hint="eastAsia"/>
        </w:rPr>
        <w:t>不服国务院专利行政部门实施强制许可决定案件；</w:t>
      </w:r>
    </w:p>
    <w:p>
      <w:pPr>
        <w:pStyle w:val="12"/>
        <w:rPr>
          <w:rFonts w:hint="eastAsia"/>
        </w:rPr>
      </w:pPr>
      <w:r>
        <w:rPr>
          <w:rFonts w:hint="eastAsia"/>
        </w:rPr>
        <w:t>13</w:t>
      </w:r>
      <w:r>
        <w:rPr>
          <w:rFonts w:hint="eastAsia"/>
          <w:lang w:eastAsia="zh-CN"/>
        </w:rPr>
        <w:t>.</w:t>
      </w:r>
      <w:r>
        <w:rPr>
          <w:rFonts w:hint="eastAsia"/>
        </w:rPr>
        <w:t>不服国务院专利行政部门实施强制许可使用费裁决案件；</w:t>
      </w:r>
    </w:p>
    <w:p>
      <w:pPr>
        <w:pStyle w:val="12"/>
        <w:rPr>
          <w:rFonts w:hint="eastAsia"/>
        </w:rPr>
      </w:pPr>
      <w:r>
        <w:rPr>
          <w:rFonts w:hint="eastAsia"/>
        </w:rPr>
        <w:t>14</w:t>
      </w:r>
      <w:r>
        <w:rPr>
          <w:rFonts w:hint="eastAsia"/>
          <w:lang w:eastAsia="zh-CN"/>
        </w:rPr>
        <w:t>.</w:t>
      </w:r>
      <w:r>
        <w:rPr>
          <w:rFonts w:hint="eastAsia"/>
        </w:rPr>
        <w:t>不服国务院专利行政部门行政复议决定案件；</w:t>
      </w:r>
    </w:p>
    <w:p>
      <w:pPr>
        <w:pStyle w:val="12"/>
        <w:rPr>
          <w:rFonts w:hint="eastAsia"/>
        </w:rPr>
      </w:pPr>
      <w:r>
        <w:rPr>
          <w:rFonts w:hint="eastAsia"/>
        </w:rPr>
        <w:t>15</w:t>
      </w:r>
      <w:r>
        <w:rPr>
          <w:rFonts w:hint="eastAsia"/>
          <w:lang w:eastAsia="zh-CN"/>
        </w:rPr>
        <w:t>.</w:t>
      </w:r>
      <w:r>
        <w:rPr>
          <w:rFonts w:hint="eastAsia"/>
        </w:rPr>
        <w:t>不服管理专利工作的部门行政决定案件；</w:t>
      </w:r>
    </w:p>
    <w:p>
      <w:pPr>
        <w:pStyle w:val="12"/>
        <w:rPr>
          <w:rStyle w:val="25"/>
          <w:rFonts w:hint="eastAsia"/>
        </w:rPr>
      </w:pPr>
      <w:r>
        <w:rPr>
          <w:rFonts w:hint="eastAsia"/>
        </w:rPr>
        <w:t>16</w:t>
      </w:r>
      <w:r>
        <w:rPr>
          <w:rFonts w:hint="eastAsia"/>
          <w:lang w:eastAsia="zh-CN"/>
        </w:rPr>
        <w:t>.</w:t>
      </w:r>
      <w:r>
        <w:rPr>
          <w:rFonts w:hint="eastAsia"/>
        </w:rPr>
        <w:t>其他专利纠纷案件。</w:t>
      </w:r>
    </w:p>
    <w:p>
      <w:pPr>
        <w:pStyle w:val="12"/>
        <w:rPr>
          <w:rFonts w:hint="eastAsia"/>
        </w:rPr>
      </w:pPr>
      <w:r>
        <w:rPr>
          <w:rStyle w:val="25"/>
          <w:rFonts w:hint="eastAsia"/>
        </w:rPr>
        <w:t>第二</w:t>
      </w:r>
      <w:r>
        <w:rPr>
          <w:rStyle w:val="25"/>
          <w:rFonts w:hint="eastAsia"/>
          <w:lang w:eastAsia="zh-CN"/>
        </w:rPr>
        <w:t>条</w:t>
      </w:r>
      <w:r>
        <w:rPr>
          <w:rFonts w:hint="eastAsia"/>
          <w:lang w:eastAsia="zh-CN"/>
        </w:rPr>
        <w:t>　</w:t>
      </w:r>
      <w:r>
        <w:rPr>
          <w:rFonts w:hint="eastAsia"/>
        </w:rPr>
        <w:t>专利纠纷第一审案件，由各省、自治区、直辖市人民政府所在地的中级人民法院和最高人民法院指定的中级人民法院管辖。</w:t>
      </w:r>
    </w:p>
    <w:p>
      <w:pPr>
        <w:pStyle w:val="12"/>
        <w:rPr>
          <w:rStyle w:val="25"/>
          <w:rFonts w:hint="eastAsia"/>
        </w:rPr>
      </w:pPr>
      <w:r>
        <w:rPr>
          <w:rFonts w:hint="eastAsia"/>
        </w:rPr>
        <w:t>最高人民法院根据实际情况，可以指定基层人民法院管辖第一审专利纠纷案件。</w:t>
      </w:r>
    </w:p>
    <w:p>
      <w:pPr>
        <w:pStyle w:val="12"/>
        <w:rPr>
          <w:rStyle w:val="25"/>
          <w:rFonts w:hint="eastAsia"/>
        </w:rPr>
      </w:pPr>
      <w:r>
        <w:rPr>
          <w:rStyle w:val="25"/>
          <w:rFonts w:hint="eastAsia"/>
        </w:rPr>
        <w:t>第三</w:t>
      </w:r>
      <w:r>
        <w:rPr>
          <w:rStyle w:val="25"/>
          <w:rFonts w:hint="eastAsia"/>
          <w:lang w:eastAsia="zh-CN"/>
        </w:rPr>
        <w:t>条</w:t>
      </w:r>
      <w:r>
        <w:rPr>
          <w:rFonts w:hint="eastAsia"/>
          <w:lang w:eastAsia="zh-CN"/>
        </w:rPr>
        <w:t>　</w:t>
      </w:r>
      <w:r>
        <w:rPr>
          <w:rFonts w:hint="eastAsia"/>
        </w:rPr>
        <w:t>当事人对专利复审委员会于2001年7月1日以后作出的关于实用新型、外观设计专利权撤销请求复审决定不服向人民法院起诉的，人民法院不予受理。</w:t>
      </w:r>
    </w:p>
    <w:p>
      <w:pPr>
        <w:pStyle w:val="12"/>
        <w:rPr>
          <w:rStyle w:val="25"/>
          <w:rFonts w:hint="eastAsia"/>
        </w:rPr>
      </w:pPr>
      <w:r>
        <w:rPr>
          <w:rStyle w:val="25"/>
          <w:rFonts w:hint="eastAsia"/>
        </w:rPr>
        <w:t>第四</w:t>
      </w:r>
      <w:r>
        <w:rPr>
          <w:rStyle w:val="25"/>
          <w:rFonts w:hint="eastAsia"/>
          <w:lang w:eastAsia="zh-CN"/>
        </w:rPr>
        <w:t>条</w:t>
      </w:r>
      <w:r>
        <w:rPr>
          <w:rFonts w:hint="eastAsia"/>
          <w:lang w:eastAsia="zh-CN"/>
        </w:rPr>
        <w:t>　</w:t>
      </w:r>
      <w:r>
        <w:rPr>
          <w:rFonts w:hint="eastAsia"/>
        </w:rPr>
        <w:t>当事人对专利复审委员会于2001年7月1日以后作出的关于维持驳回实用新型、外观设计专利申请的复审决定，或者关于实用新型、外观设计专利权无效宣告请求的决定不服向人民法院起诉的，人民法院应当受理。</w:t>
      </w:r>
    </w:p>
    <w:p>
      <w:pPr>
        <w:pStyle w:val="12"/>
        <w:rPr>
          <w:rFonts w:hint="eastAsia"/>
        </w:rPr>
      </w:pPr>
      <w:r>
        <w:rPr>
          <w:rStyle w:val="25"/>
          <w:rFonts w:hint="eastAsia"/>
        </w:rPr>
        <w:t>第五</w:t>
      </w:r>
      <w:r>
        <w:rPr>
          <w:rStyle w:val="25"/>
          <w:rFonts w:hint="eastAsia"/>
          <w:lang w:eastAsia="zh-CN"/>
        </w:rPr>
        <w:t>条</w:t>
      </w:r>
      <w:r>
        <w:rPr>
          <w:rFonts w:hint="eastAsia"/>
          <w:lang w:eastAsia="zh-CN"/>
        </w:rPr>
        <w:t>　</w:t>
      </w:r>
      <w:r>
        <w:rPr>
          <w:rFonts w:hint="eastAsia"/>
        </w:rPr>
        <w:t>因侵犯专利权行为提起的诉讼，由侵权行为地或者被告住所地人民法院管辖。</w:t>
      </w:r>
    </w:p>
    <w:p>
      <w:pPr>
        <w:pStyle w:val="12"/>
        <w:rPr>
          <w:rStyle w:val="25"/>
          <w:rFonts w:hint="eastAsia"/>
        </w:rPr>
      </w:pPr>
      <w:r>
        <w:rPr>
          <w:rFonts w:hint="eastAsia"/>
        </w:rPr>
        <w:t>侵权行为地包括：被诉侵犯发明、实用新型专利权的产品的制造、使用、许诺销售、销售、进口等行为的实施地；专利方法使用行为的实施地，依照该专利方法直接获得的产品的使用、许诺销售、销售、进口等行为的实施地；外观设计专利产品的制造、许诺销售、销售、进口等行为的实施地；假冒他人专利的行为实施地。上述侵权行为的侵权结果发生地。</w:t>
      </w:r>
    </w:p>
    <w:p>
      <w:pPr>
        <w:pStyle w:val="12"/>
        <w:rPr>
          <w:rFonts w:hint="eastAsia"/>
        </w:rPr>
      </w:pPr>
      <w:r>
        <w:rPr>
          <w:rStyle w:val="25"/>
          <w:rFonts w:hint="eastAsia"/>
        </w:rPr>
        <w:t>第六</w:t>
      </w:r>
      <w:r>
        <w:rPr>
          <w:rStyle w:val="25"/>
          <w:rFonts w:hint="eastAsia"/>
          <w:lang w:eastAsia="zh-CN"/>
        </w:rPr>
        <w:t>条</w:t>
      </w:r>
      <w:r>
        <w:rPr>
          <w:rFonts w:hint="eastAsia"/>
          <w:lang w:eastAsia="zh-CN"/>
        </w:rPr>
        <w:t>　</w:t>
      </w:r>
      <w:r>
        <w:rPr>
          <w:rFonts w:hint="eastAsia"/>
        </w:rPr>
        <w:t>原告仅对侵权产品制造者提起诉讼，未起诉销售者，侵权产品制造地与销售地不一致的，制造地人民法院有管辖权；以制造者与销售者为共同被告起诉的，销售地人民法院有管辖权。</w:t>
      </w:r>
    </w:p>
    <w:p>
      <w:pPr>
        <w:pStyle w:val="12"/>
        <w:rPr>
          <w:rStyle w:val="25"/>
          <w:rFonts w:hint="eastAsia"/>
        </w:rPr>
      </w:pPr>
      <w:r>
        <w:rPr>
          <w:rFonts w:hint="eastAsia"/>
        </w:rPr>
        <w:t>销售者是制造者分支机构，原告在销售地起诉侵权产品制造者制造、销售行为的，销售地人民法院有管辖权。</w:t>
      </w:r>
    </w:p>
    <w:p>
      <w:pPr>
        <w:pStyle w:val="12"/>
        <w:rPr>
          <w:rFonts w:hint="eastAsia"/>
        </w:rPr>
      </w:pPr>
      <w:r>
        <w:rPr>
          <w:rStyle w:val="25"/>
          <w:rFonts w:hint="eastAsia"/>
        </w:rPr>
        <w:t>第七</w:t>
      </w:r>
      <w:r>
        <w:rPr>
          <w:rStyle w:val="25"/>
          <w:rFonts w:hint="eastAsia"/>
          <w:lang w:eastAsia="zh-CN"/>
        </w:rPr>
        <w:t>条</w:t>
      </w:r>
      <w:r>
        <w:rPr>
          <w:rFonts w:hint="eastAsia"/>
          <w:lang w:eastAsia="zh-CN"/>
        </w:rPr>
        <w:t>　</w:t>
      </w:r>
      <w:r>
        <w:rPr>
          <w:rFonts w:hint="eastAsia"/>
        </w:rPr>
        <w:t>原告根据1993年1月1日以前提出的专利申请和根据该申请授予的方法发明专利权提起的侵权诉讼，参照本规定第五条、第六条的规定确定管辖。</w:t>
      </w:r>
    </w:p>
    <w:p>
      <w:pPr>
        <w:pStyle w:val="12"/>
        <w:rPr>
          <w:rStyle w:val="25"/>
          <w:rFonts w:hint="eastAsia"/>
        </w:rPr>
      </w:pPr>
      <w:r>
        <w:rPr>
          <w:rFonts w:hint="eastAsia"/>
        </w:rPr>
        <w:t>人民法院在上述案件实体审理中依法适用方法发明专利权不延及产品的规定。</w:t>
      </w:r>
    </w:p>
    <w:p>
      <w:pPr>
        <w:pStyle w:val="12"/>
        <w:rPr>
          <w:rFonts w:hint="eastAsia"/>
        </w:rPr>
      </w:pPr>
      <w:r>
        <w:rPr>
          <w:rStyle w:val="25"/>
          <w:rFonts w:hint="eastAsia"/>
        </w:rPr>
        <w:t>第八</w:t>
      </w:r>
      <w:r>
        <w:rPr>
          <w:rStyle w:val="25"/>
          <w:rFonts w:hint="eastAsia"/>
          <w:lang w:eastAsia="zh-CN"/>
        </w:rPr>
        <w:t>条</w:t>
      </w:r>
      <w:r>
        <w:rPr>
          <w:rFonts w:hint="eastAsia"/>
          <w:lang w:eastAsia="zh-CN"/>
        </w:rPr>
        <w:t>　</w:t>
      </w:r>
      <w:r>
        <w:rPr>
          <w:rFonts w:hint="eastAsia"/>
        </w:rPr>
        <w:t>对申请日在2009年10月1日前（不含该日）的实用新型专利提起侵犯专利权诉讼，原告可以出具由国务院专利行政部门作出的检索报告；对申请日在2009年10月1日以后的实用新型或者外观设计专利提起侵犯专利权诉讼，原告可以出具由国务院专利行政部门作出的专利权评价报告。根据案件审理需要，人民法院可以要求原告提交检索报告或者专利权评价报告。原告无正当理由不提交的，人民法院可以裁定中止诉讼或者判令原告承担可能的不利后果。</w:t>
      </w:r>
    </w:p>
    <w:p>
      <w:pPr>
        <w:pStyle w:val="12"/>
        <w:rPr>
          <w:rStyle w:val="25"/>
          <w:rFonts w:hint="eastAsia"/>
        </w:rPr>
      </w:pPr>
      <w:r>
        <w:rPr>
          <w:rFonts w:hint="eastAsia"/>
        </w:rPr>
        <w:t>侵犯实用新型、外观设计专利权纠纷案件的被告请求中止诉讼的，应当在答辩期内对原告的专利权提出宣告无效的请求。</w:t>
      </w:r>
    </w:p>
    <w:p>
      <w:pPr>
        <w:pStyle w:val="12"/>
        <w:rPr>
          <w:rFonts w:hint="eastAsia"/>
        </w:rPr>
      </w:pPr>
      <w:r>
        <w:rPr>
          <w:rStyle w:val="25"/>
          <w:rFonts w:hint="eastAsia"/>
        </w:rPr>
        <w:t>第九</w:t>
      </w:r>
      <w:r>
        <w:rPr>
          <w:rStyle w:val="25"/>
          <w:rFonts w:hint="eastAsia"/>
          <w:lang w:eastAsia="zh-CN"/>
        </w:rPr>
        <w:t>条</w:t>
      </w:r>
      <w:r>
        <w:rPr>
          <w:rFonts w:hint="eastAsia"/>
          <w:lang w:eastAsia="zh-CN"/>
        </w:rPr>
        <w:t>　</w:t>
      </w:r>
      <w:r>
        <w:rPr>
          <w:rFonts w:hint="eastAsia"/>
        </w:rPr>
        <w:t>人民法院受理的侵犯实用新型、外观设计专利权纠纷案件，被告在答辩期间内请求宣告该项专利权无效的，人民法院应当中止诉讼，但具备下列情形之一的，可以不中止诉讼：</w:t>
      </w:r>
    </w:p>
    <w:p>
      <w:pPr>
        <w:pStyle w:val="12"/>
        <w:rPr>
          <w:rFonts w:hint="eastAsia"/>
        </w:rPr>
      </w:pPr>
      <w:r>
        <w:rPr>
          <w:rFonts w:hint="eastAsia"/>
        </w:rPr>
        <w:t>（一）原告出具的检索报告或者专利权评价报告未发现导致实用新型或者外观设计专利权无效的事由的；</w:t>
      </w:r>
    </w:p>
    <w:p>
      <w:pPr>
        <w:pStyle w:val="12"/>
        <w:rPr>
          <w:rFonts w:hint="eastAsia"/>
        </w:rPr>
      </w:pPr>
      <w:r>
        <w:rPr>
          <w:rFonts w:hint="eastAsia"/>
        </w:rPr>
        <w:t>（二）被告提供的证据足以证明其使用的技术已经公知的；</w:t>
      </w:r>
    </w:p>
    <w:p>
      <w:pPr>
        <w:pStyle w:val="12"/>
        <w:rPr>
          <w:rFonts w:hint="eastAsia"/>
        </w:rPr>
      </w:pPr>
      <w:r>
        <w:rPr>
          <w:rFonts w:hint="eastAsia"/>
        </w:rPr>
        <w:t>（三）被告请求宣告该项专利权无效所提供的证据或者依据的理由明显不充分的；</w:t>
      </w:r>
    </w:p>
    <w:p>
      <w:pPr>
        <w:pStyle w:val="12"/>
        <w:rPr>
          <w:rStyle w:val="25"/>
          <w:rFonts w:hint="eastAsia"/>
        </w:rPr>
      </w:pPr>
      <w:r>
        <w:rPr>
          <w:rFonts w:hint="eastAsia"/>
        </w:rPr>
        <w:t>（四）人民法院认为不应当中止诉讼的其他情形。</w:t>
      </w:r>
    </w:p>
    <w:p>
      <w:pPr>
        <w:pStyle w:val="12"/>
        <w:rPr>
          <w:rStyle w:val="25"/>
          <w:rFonts w:hint="eastAsia"/>
        </w:rPr>
      </w:pPr>
      <w:r>
        <w:rPr>
          <w:rStyle w:val="25"/>
          <w:rFonts w:hint="eastAsia"/>
        </w:rPr>
        <w:t>第十</w:t>
      </w:r>
      <w:r>
        <w:rPr>
          <w:rStyle w:val="25"/>
          <w:rFonts w:hint="eastAsia"/>
          <w:lang w:eastAsia="zh-CN"/>
        </w:rPr>
        <w:t>条</w:t>
      </w:r>
      <w:r>
        <w:rPr>
          <w:rFonts w:hint="eastAsia"/>
          <w:lang w:eastAsia="zh-CN"/>
        </w:rPr>
        <w:t>　</w:t>
      </w:r>
      <w:r>
        <w:rPr>
          <w:rFonts w:hint="eastAsia"/>
        </w:rPr>
        <w:t>人民法院受理的侵犯实用新型、外观设计专利权纠纷案件，被告在答辩期间届满后请求宣告该项专利权无效的，人民法院不应当中止诉讼，但经审查认为有必要中止诉讼的除外。</w:t>
      </w:r>
    </w:p>
    <w:p>
      <w:pPr>
        <w:pStyle w:val="12"/>
        <w:rPr>
          <w:rStyle w:val="25"/>
          <w:rFonts w:hint="eastAsia"/>
        </w:rPr>
      </w:pPr>
      <w:r>
        <w:rPr>
          <w:rStyle w:val="25"/>
          <w:rFonts w:hint="eastAsia"/>
        </w:rPr>
        <w:t>第十一</w:t>
      </w:r>
      <w:r>
        <w:rPr>
          <w:rStyle w:val="25"/>
          <w:rFonts w:hint="eastAsia"/>
          <w:lang w:eastAsia="zh-CN"/>
        </w:rPr>
        <w:t>条</w:t>
      </w:r>
      <w:r>
        <w:rPr>
          <w:rFonts w:hint="eastAsia"/>
          <w:lang w:eastAsia="zh-CN"/>
        </w:rPr>
        <w:t>　</w:t>
      </w:r>
      <w:r>
        <w:rPr>
          <w:rFonts w:hint="eastAsia"/>
        </w:rPr>
        <w:t>人民法院受理的侵犯发明专利权纠纷案件或者经专利复审委员会审查维持专利权的侵犯实用新型、外观设计专利权纠纷案件，被告在答辩期间内请求宣告该项专利权无效的，人民法院可以不中止诉讼。</w:t>
      </w:r>
    </w:p>
    <w:p>
      <w:pPr>
        <w:pStyle w:val="12"/>
        <w:rPr>
          <w:rStyle w:val="25"/>
          <w:rFonts w:hint="eastAsia"/>
        </w:rPr>
      </w:pPr>
      <w:r>
        <w:rPr>
          <w:rStyle w:val="25"/>
          <w:rFonts w:hint="eastAsia"/>
        </w:rPr>
        <w:t>第十二</w:t>
      </w:r>
      <w:r>
        <w:rPr>
          <w:rStyle w:val="25"/>
          <w:rFonts w:hint="eastAsia"/>
          <w:lang w:eastAsia="zh-CN"/>
        </w:rPr>
        <w:t>条</w:t>
      </w:r>
      <w:r>
        <w:rPr>
          <w:rFonts w:hint="eastAsia"/>
          <w:lang w:eastAsia="zh-CN"/>
        </w:rPr>
        <w:t>　</w:t>
      </w:r>
      <w:r>
        <w:rPr>
          <w:rFonts w:hint="eastAsia"/>
        </w:rPr>
        <w:t>人民法院决定中止诉讼，专利权人或者利害关系人请求责令被告停止有关行为或者采取其他制止侵权损害继续扩大的措施，并提供了担保，人民法院经审查符合有关法律规定的，可以在裁定中止诉讼的同时一并作出有关裁定。</w:t>
      </w:r>
    </w:p>
    <w:p>
      <w:pPr>
        <w:pStyle w:val="12"/>
        <w:rPr>
          <w:rFonts w:hint="eastAsia"/>
        </w:rPr>
      </w:pPr>
      <w:r>
        <w:rPr>
          <w:rStyle w:val="25"/>
          <w:rFonts w:hint="eastAsia"/>
        </w:rPr>
        <w:t>第十三</w:t>
      </w:r>
      <w:r>
        <w:rPr>
          <w:rStyle w:val="25"/>
          <w:rFonts w:hint="eastAsia"/>
          <w:lang w:eastAsia="zh-CN"/>
        </w:rPr>
        <w:t>条</w:t>
      </w:r>
      <w:r>
        <w:rPr>
          <w:rFonts w:hint="eastAsia"/>
          <w:lang w:eastAsia="zh-CN"/>
        </w:rPr>
        <w:t>　</w:t>
      </w:r>
      <w:r>
        <w:rPr>
          <w:rFonts w:hint="eastAsia"/>
        </w:rPr>
        <w:t>人民法院对专利权进行财产保全，应当向国务院专利行政部门发出协助执行通知书，载明要求协助执行的事项，以及对专利权保全的期限，并附人民法院作出的裁定书。</w:t>
      </w:r>
    </w:p>
    <w:p>
      <w:pPr>
        <w:pStyle w:val="12"/>
        <w:rPr>
          <w:rFonts w:hint="eastAsia"/>
        </w:rPr>
      </w:pPr>
      <w:r>
        <w:rPr>
          <w:rFonts w:hint="eastAsia"/>
        </w:rPr>
        <w:t>对专利权保全的期限一次不得超过六个月，自国务院专利行政部门收到协助执行通知书之日起计算。如果仍然需要对该专利权继续采取保全措施的，人民法院应当在保全期限届满前向国务院专利行政部门另行送达继续保全的协助执行通知书。保全期限届满前未送达的，视为自动解除对该专利权的财产保全。</w:t>
      </w:r>
    </w:p>
    <w:p>
      <w:pPr>
        <w:pStyle w:val="12"/>
        <w:rPr>
          <w:rFonts w:hint="eastAsia"/>
        </w:rPr>
      </w:pPr>
      <w:r>
        <w:rPr>
          <w:rFonts w:hint="eastAsia"/>
        </w:rPr>
        <w:t>人民法院对出质的专利权可以采取财产保全措施，质权人的优先受偿权不受保全措施的影响；专利权人与被许可人已经签订的独占实施许可合同，不影响人民法院对该专利权进行财产保全。</w:t>
      </w:r>
    </w:p>
    <w:p>
      <w:pPr>
        <w:pStyle w:val="12"/>
        <w:rPr>
          <w:rStyle w:val="25"/>
          <w:rFonts w:hint="eastAsia"/>
        </w:rPr>
      </w:pPr>
      <w:r>
        <w:rPr>
          <w:rFonts w:hint="eastAsia"/>
        </w:rPr>
        <w:t>人民法院对已经进行保全的专利权，不得重复进行保全。</w:t>
      </w:r>
    </w:p>
    <w:p>
      <w:pPr>
        <w:pStyle w:val="12"/>
        <w:rPr>
          <w:rStyle w:val="25"/>
          <w:rFonts w:hint="eastAsia"/>
        </w:rPr>
      </w:pPr>
      <w:r>
        <w:rPr>
          <w:rStyle w:val="25"/>
          <w:rFonts w:hint="eastAsia"/>
        </w:rPr>
        <w:t>第十四</w:t>
      </w:r>
      <w:r>
        <w:rPr>
          <w:rStyle w:val="25"/>
          <w:rFonts w:hint="eastAsia"/>
          <w:lang w:eastAsia="zh-CN"/>
        </w:rPr>
        <w:t>条</w:t>
      </w:r>
      <w:r>
        <w:rPr>
          <w:rFonts w:hint="eastAsia"/>
          <w:lang w:eastAsia="zh-CN"/>
        </w:rPr>
        <w:t>　</w:t>
      </w:r>
      <w:r>
        <w:rPr>
          <w:rFonts w:hint="eastAsia"/>
        </w:rPr>
        <w:t>2001年7月1日以前利用本单位的物质技术条件所完成的发明创造，单位与发明人或者设计人订有合同，对申请专利的权利和专利权的归属作出约定的，从其约定。</w:t>
      </w:r>
    </w:p>
    <w:p>
      <w:pPr>
        <w:pStyle w:val="12"/>
        <w:rPr>
          <w:rStyle w:val="25"/>
          <w:rFonts w:hint="eastAsia"/>
        </w:rPr>
      </w:pPr>
      <w:r>
        <w:rPr>
          <w:rStyle w:val="25"/>
          <w:rFonts w:hint="eastAsia"/>
        </w:rPr>
        <w:t>第十五</w:t>
      </w:r>
      <w:r>
        <w:rPr>
          <w:rStyle w:val="25"/>
          <w:rFonts w:hint="eastAsia"/>
          <w:lang w:eastAsia="zh-CN"/>
        </w:rPr>
        <w:t>条</w:t>
      </w:r>
      <w:r>
        <w:rPr>
          <w:rFonts w:hint="eastAsia"/>
          <w:lang w:eastAsia="zh-CN"/>
        </w:rPr>
        <w:t>　</w:t>
      </w:r>
      <w:r>
        <w:rPr>
          <w:rFonts w:hint="eastAsia"/>
        </w:rPr>
        <w:t>人民法院受理的侵犯专利权纠纷案件，涉及权利冲突的，应当保护在先依法享有权利的当事人的合法权益。</w:t>
      </w:r>
    </w:p>
    <w:p>
      <w:pPr>
        <w:pStyle w:val="12"/>
        <w:rPr>
          <w:rStyle w:val="25"/>
          <w:rFonts w:hint="eastAsia"/>
        </w:rPr>
      </w:pPr>
      <w:r>
        <w:rPr>
          <w:rStyle w:val="25"/>
          <w:rFonts w:hint="eastAsia"/>
        </w:rPr>
        <w:t>第十六</w:t>
      </w:r>
      <w:r>
        <w:rPr>
          <w:rStyle w:val="25"/>
          <w:rFonts w:hint="eastAsia"/>
          <w:lang w:eastAsia="zh-CN"/>
        </w:rPr>
        <w:t>条</w:t>
      </w:r>
      <w:r>
        <w:rPr>
          <w:rFonts w:hint="eastAsia"/>
          <w:lang w:eastAsia="zh-CN"/>
        </w:rPr>
        <w:t>　</w:t>
      </w:r>
      <w:r>
        <w:rPr>
          <w:rFonts w:hint="eastAsia"/>
        </w:rPr>
        <w:t>专利法第二十三条所称的在先取得的合法权利包括：商标权、著作权、企业名称权、肖像权、知名商品特有包装或者装潢使用权等。</w:t>
      </w:r>
    </w:p>
    <w:p>
      <w:pPr>
        <w:pStyle w:val="12"/>
        <w:rPr>
          <w:rFonts w:hint="eastAsia"/>
        </w:rPr>
      </w:pPr>
      <w:r>
        <w:rPr>
          <w:rStyle w:val="25"/>
          <w:rFonts w:hint="eastAsia"/>
        </w:rPr>
        <w:t>第十七</w:t>
      </w:r>
      <w:r>
        <w:rPr>
          <w:rStyle w:val="25"/>
          <w:rFonts w:hint="eastAsia"/>
          <w:lang w:eastAsia="zh-CN"/>
        </w:rPr>
        <w:t>条</w:t>
      </w:r>
      <w:r>
        <w:rPr>
          <w:rFonts w:hint="eastAsia"/>
          <w:lang w:eastAsia="zh-CN"/>
        </w:rPr>
        <w:t>　</w:t>
      </w:r>
      <w:r>
        <w:rPr>
          <w:rFonts w:hint="eastAsia"/>
        </w:rPr>
        <w:t>专利法第五十九条第一款所称的“发明或者实用新型专利权的保护范围以其权利要求的内容为准，说明书及附图可以用于解释权利要求的内容”，是指专利权的保护范围应当以权利要求记载的全部技术特征所确定的范围为准，也包括与该技术特征相等同的特征所确定的范围。</w:t>
      </w:r>
    </w:p>
    <w:p>
      <w:pPr>
        <w:pStyle w:val="12"/>
        <w:rPr>
          <w:rStyle w:val="25"/>
          <w:rFonts w:hint="eastAsia"/>
        </w:rPr>
      </w:pPr>
      <w:r>
        <w:rPr>
          <w:rFonts w:hint="eastAsia"/>
        </w:rPr>
        <w:t>等同特征，是指与所记载的技术特征以基本相同的手段，实现基本相同的功能，达到基本相同的效果，并且本领域普通技术人员在被诉侵权行为发生时无需经过创造性劳动就能够联想到的特征。</w:t>
      </w:r>
    </w:p>
    <w:p>
      <w:pPr>
        <w:pStyle w:val="12"/>
        <w:rPr>
          <w:rStyle w:val="25"/>
          <w:rFonts w:hint="eastAsia"/>
        </w:rPr>
      </w:pPr>
      <w:r>
        <w:rPr>
          <w:rStyle w:val="25"/>
          <w:rFonts w:hint="eastAsia"/>
        </w:rPr>
        <w:t>第十八</w:t>
      </w:r>
      <w:r>
        <w:rPr>
          <w:rStyle w:val="25"/>
          <w:rFonts w:hint="eastAsia"/>
          <w:lang w:eastAsia="zh-CN"/>
        </w:rPr>
        <w:t>条</w:t>
      </w:r>
      <w:r>
        <w:rPr>
          <w:rFonts w:hint="eastAsia"/>
          <w:lang w:eastAsia="zh-CN"/>
        </w:rPr>
        <w:t>　</w:t>
      </w:r>
      <w:r>
        <w:rPr>
          <w:rFonts w:hint="eastAsia"/>
        </w:rPr>
        <w:t>侵犯专利权行为发生在2001年７月１日以前的，适用修改前专利法的规定确定民事责任；发生在2001年７月１日以后的，适用修改后专利法的规定确定民事责任。</w:t>
      </w:r>
    </w:p>
    <w:p>
      <w:pPr>
        <w:pStyle w:val="12"/>
        <w:rPr>
          <w:rStyle w:val="25"/>
          <w:rFonts w:hint="eastAsia"/>
        </w:rPr>
      </w:pPr>
      <w:r>
        <w:rPr>
          <w:rStyle w:val="25"/>
          <w:rFonts w:hint="eastAsia"/>
        </w:rPr>
        <w:t>第十九</w:t>
      </w:r>
      <w:r>
        <w:rPr>
          <w:rStyle w:val="25"/>
          <w:rFonts w:hint="eastAsia"/>
          <w:lang w:eastAsia="zh-CN"/>
        </w:rPr>
        <w:t>条</w:t>
      </w:r>
      <w:r>
        <w:rPr>
          <w:rFonts w:hint="eastAsia"/>
          <w:lang w:eastAsia="zh-CN"/>
        </w:rPr>
        <w:t>　</w:t>
      </w:r>
      <w:r>
        <w:rPr>
          <w:rFonts w:hint="eastAsia"/>
        </w:rPr>
        <w:t>假冒他人专利的，人民法院可以依照专利法第六十三条的规定确定其民事责任。管理专利工作的部门未给予行政处罚的，人民法院可以依照民法通则第一百三十四条第三款的规定给予民事制裁，适用民事罚款数额可以参照专利法第六十三条的规定确定。</w:t>
      </w:r>
    </w:p>
    <w:p>
      <w:pPr>
        <w:pStyle w:val="12"/>
        <w:rPr>
          <w:rFonts w:hint="eastAsia"/>
        </w:rPr>
      </w:pPr>
      <w:r>
        <w:rPr>
          <w:rStyle w:val="25"/>
          <w:rFonts w:hint="eastAsia"/>
        </w:rPr>
        <w:t>第二十</w:t>
      </w:r>
      <w:r>
        <w:rPr>
          <w:rStyle w:val="25"/>
          <w:rFonts w:hint="eastAsia"/>
          <w:lang w:eastAsia="zh-CN"/>
        </w:rPr>
        <w:t>条</w:t>
      </w:r>
      <w:r>
        <w:rPr>
          <w:rFonts w:hint="eastAsia"/>
          <w:lang w:eastAsia="zh-CN"/>
        </w:rPr>
        <w:t>　</w:t>
      </w:r>
      <w:r>
        <w:rPr>
          <w:rFonts w:hint="eastAsia"/>
        </w:rPr>
        <w:t>专利法第六十五条规定的权利人因被侵权所受到的实际损失可以根据专利权人的专利产品因侵权所造成销售量减少的总数乘以每件专利产品的合理利润所得之积计算。权利人销售量减少的总数难以确定的，侵权产品在市场上销售的总数乘以每件专利产品的合理利润所得之积可以视为权利人因被侵权所受到的实际损失。</w:t>
      </w:r>
    </w:p>
    <w:p>
      <w:pPr>
        <w:pStyle w:val="12"/>
        <w:rPr>
          <w:rStyle w:val="25"/>
          <w:rFonts w:hint="eastAsia"/>
        </w:rPr>
      </w:pPr>
      <w:r>
        <w:rPr>
          <w:rFonts w:hint="eastAsia"/>
        </w:rPr>
        <w:t>专利法第六十五条规定的侵权人因侵权所获得的利益可以根据该侵权产品在市场上销售的总数乘以每件侵权产品的合理利润所得之积计算。侵权人因侵权所获得的利益一般按照侵权人的营业利润计算，对于完全以侵权为业的侵权人，可以按照销售利润计算。</w:t>
      </w:r>
    </w:p>
    <w:p>
      <w:pPr>
        <w:pStyle w:val="12"/>
        <w:rPr>
          <w:rStyle w:val="25"/>
          <w:rFonts w:hint="eastAsia"/>
        </w:rPr>
      </w:pPr>
      <w:r>
        <w:rPr>
          <w:rStyle w:val="25"/>
          <w:rFonts w:hint="eastAsia"/>
        </w:rPr>
        <w:t>第二十一</w:t>
      </w:r>
      <w:r>
        <w:rPr>
          <w:rStyle w:val="25"/>
          <w:rFonts w:hint="eastAsia"/>
          <w:lang w:eastAsia="zh-CN"/>
        </w:rPr>
        <w:t>条</w:t>
      </w:r>
      <w:r>
        <w:rPr>
          <w:rFonts w:hint="eastAsia"/>
          <w:lang w:eastAsia="zh-CN"/>
        </w:rPr>
        <w:t>　</w:t>
      </w:r>
      <w:r>
        <w:rPr>
          <w:rFonts w:hint="eastAsia"/>
        </w:rPr>
        <w:t>权利人的损失或者侵权人获得的利益难以确定，有专利许可使用费可以参照的，人民法院可以根据专利权的类型、侵权行为的性质和情节、专利许可的性质、范围、时间等因素，参照该专利许可使用费的倍数合理确定赔偿数额；没有专利许可使用费可以参照或者专利许可使用费明显不合理的，人民法院可以根据专利权的类型、侵权行为的性质和情节等因素，依照专利法第六十五条第二款的规定确定赔偿数额。</w:t>
      </w:r>
    </w:p>
    <w:p>
      <w:pPr>
        <w:pStyle w:val="12"/>
        <w:rPr>
          <w:rStyle w:val="25"/>
          <w:rFonts w:hint="eastAsia"/>
        </w:rPr>
      </w:pPr>
      <w:r>
        <w:rPr>
          <w:rStyle w:val="25"/>
          <w:rFonts w:hint="eastAsia"/>
        </w:rPr>
        <w:t>第二十二</w:t>
      </w:r>
      <w:r>
        <w:rPr>
          <w:rStyle w:val="25"/>
          <w:rFonts w:hint="eastAsia"/>
          <w:lang w:eastAsia="zh-CN"/>
        </w:rPr>
        <w:t>条</w:t>
      </w:r>
      <w:r>
        <w:rPr>
          <w:rFonts w:hint="eastAsia"/>
          <w:lang w:eastAsia="zh-CN"/>
        </w:rPr>
        <w:t>　</w:t>
      </w:r>
      <w:r>
        <w:rPr>
          <w:rFonts w:hint="eastAsia"/>
        </w:rPr>
        <w:t>权利人主张其为制止侵权行为所支付合理开支的，人民法院可以在专利法第六十五条确定的赔偿数额之外另行计算。</w:t>
      </w:r>
    </w:p>
    <w:p>
      <w:pPr>
        <w:pStyle w:val="12"/>
        <w:rPr>
          <w:rStyle w:val="25"/>
          <w:rFonts w:hint="eastAsia"/>
        </w:rPr>
      </w:pPr>
      <w:r>
        <w:rPr>
          <w:rStyle w:val="25"/>
          <w:rFonts w:hint="eastAsia"/>
        </w:rPr>
        <w:t>第二十三</w:t>
      </w:r>
      <w:r>
        <w:rPr>
          <w:rStyle w:val="25"/>
          <w:rFonts w:hint="eastAsia"/>
          <w:lang w:eastAsia="zh-CN"/>
        </w:rPr>
        <w:t>条</w:t>
      </w:r>
      <w:r>
        <w:rPr>
          <w:rFonts w:hint="eastAsia"/>
          <w:lang w:eastAsia="zh-CN"/>
        </w:rPr>
        <w:t>　</w:t>
      </w:r>
      <w:r>
        <w:rPr>
          <w:rFonts w:hint="eastAsia"/>
        </w:rPr>
        <w:t>侵犯专利权的诉讼时效为二年，自专利权人或者利害关系人知道或者应当知道侵权行为之日起计算。权利人超过二年起诉的，如果侵权行为在起诉时仍在继续，在该项专利权有效期内，人民法院应当判决被告停止侵权行为，侵权损害赔偿数额应当自权利人向人民法院起诉之日起向前推算二年计算。</w:t>
      </w:r>
    </w:p>
    <w:p>
      <w:pPr>
        <w:pStyle w:val="12"/>
        <w:rPr>
          <w:rStyle w:val="25"/>
          <w:rFonts w:hint="eastAsia"/>
        </w:rPr>
      </w:pPr>
      <w:r>
        <w:rPr>
          <w:rStyle w:val="25"/>
          <w:rFonts w:hint="eastAsia"/>
        </w:rPr>
        <w:t>第二十四</w:t>
      </w:r>
      <w:r>
        <w:rPr>
          <w:rStyle w:val="25"/>
          <w:rFonts w:hint="eastAsia"/>
          <w:lang w:eastAsia="zh-CN"/>
        </w:rPr>
        <w:t>条</w:t>
      </w:r>
      <w:r>
        <w:rPr>
          <w:rFonts w:hint="eastAsia"/>
          <w:lang w:eastAsia="zh-CN"/>
        </w:rPr>
        <w:t>　</w:t>
      </w:r>
      <w:r>
        <w:rPr>
          <w:rFonts w:hint="eastAsia"/>
        </w:rPr>
        <w:t>专利法第十一条、第六十九条所称的许诺销售，是指以做广告、在商店橱窗中陈列或者在展销会上展出等方式作出销售商品的意思表示。</w:t>
      </w:r>
    </w:p>
    <w:p>
      <w:pPr>
        <w:pStyle w:val="12"/>
        <w:rPr>
          <w:rStyle w:val="25"/>
          <w:rFonts w:hint="eastAsia"/>
        </w:rPr>
      </w:pPr>
      <w:r>
        <w:rPr>
          <w:rStyle w:val="25"/>
          <w:rFonts w:hint="eastAsia"/>
        </w:rPr>
        <w:t>第二十五</w:t>
      </w:r>
      <w:r>
        <w:rPr>
          <w:rStyle w:val="25"/>
          <w:rFonts w:hint="eastAsia"/>
          <w:lang w:eastAsia="zh-CN"/>
        </w:rPr>
        <w:t>条</w:t>
      </w:r>
      <w:r>
        <w:rPr>
          <w:rFonts w:hint="eastAsia"/>
          <w:lang w:eastAsia="zh-CN"/>
        </w:rPr>
        <w:t>　</w:t>
      </w:r>
      <w:r>
        <w:rPr>
          <w:rFonts w:hint="eastAsia"/>
        </w:rPr>
        <w:t>人民法院受理的侵犯专利权纠纷案件，已经过管理专利工作的部门作出侵权或者不侵权认定的，人民法院仍应当就当事人的诉讼请求进行全面审查。</w:t>
      </w:r>
    </w:p>
    <w:p>
      <w:pPr>
        <w:pStyle w:val="12"/>
        <w:rPr>
          <w:rFonts w:hint="eastAsia"/>
        </w:rPr>
      </w:pPr>
      <w:r>
        <w:rPr>
          <w:rStyle w:val="25"/>
          <w:rFonts w:hint="eastAsia"/>
        </w:rPr>
        <w:t>第二十六</w:t>
      </w:r>
      <w:r>
        <w:rPr>
          <w:rStyle w:val="25"/>
          <w:rFonts w:hint="eastAsia"/>
          <w:lang w:eastAsia="zh-CN"/>
        </w:rPr>
        <w:t>条</w:t>
      </w:r>
      <w:r>
        <w:rPr>
          <w:rFonts w:hint="eastAsia"/>
          <w:lang w:eastAsia="zh-CN"/>
        </w:rPr>
        <w:t>　</w:t>
      </w:r>
      <w:r>
        <w:rPr>
          <w:rFonts w:hint="eastAsia"/>
        </w:rPr>
        <w:t>以前的有关司法解释与本规定不一致的，以本规定为准。</w:t>
      </w:r>
    </w:p>
    <w:p>
      <w:pPr>
        <w:pStyle w:val="12"/>
        <w:rPr>
          <w:rFonts w:hint="eastAsia"/>
        </w:rPr>
      </w:pPr>
      <w:bookmarkStart w:id="0" w:name="_GoBack"/>
      <w:bookmarkEnd w:id="0"/>
    </w:p>
    <w:sectPr>
      <w:footerReference r:id="rId5" w:type="default"/>
      <w:footerReference r:id="rId6" w:type="even"/>
      <w:pgSz w:w="11906" w:h="16838"/>
      <w:pgMar w:top="2098" w:right="1474" w:bottom="1984" w:left="1587" w:header="851" w:footer="1587" w:gutter="0"/>
      <w:pgNumType w:fmt="decimal" w:start="1"/>
      <w:cols w:space="720" w:num="1"/>
      <w:rtlGutter w:val="0"/>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43"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mbria">
    <w:panose1 w:val="02040503050406030204"/>
    <w:charset w:val="00"/>
    <w:family w:val="roman"/>
    <w:pitch w:val="default"/>
    <w:sig w:usb0="E00002FF" w:usb1="400004FF" w:usb2="00000000" w:usb3="00000000" w:csb0="2000019F" w:csb1="00000000"/>
  </w:font>
  <w:font w:name="Calibri">
    <w:panose1 w:val="020F0502020204030204"/>
    <w:charset w:val="00"/>
    <w:family w:val="swiss"/>
    <w:pitch w:val="default"/>
    <w:sig w:usb0="E00002FF" w:usb1="4000ACFF" w:usb2="00000001" w:usb3="00000000" w:csb0="2000019F" w:csb1="00000000"/>
  </w:font>
  <w:font w:name="华文楷体">
    <w:panose1 w:val="02010600040101010101"/>
    <w:charset w:val="86"/>
    <w:family w:val="auto"/>
    <w:pitch w:val="default"/>
    <w:sig w:usb0="00000287" w:usb1="080F0000" w:usb2="00000000" w:usb3="00000000" w:csb0="0004009F" w:csb1="DFD70000"/>
  </w:font>
  <w:font w:name="仿宋_GB2312">
    <w:panose1 w:val="02010609030101010101"/>
    <w:charset w:val="86"/>
    <w:family w:val="auto"/>
    <w:pitch w:val="default"/>
    <w:sig w:usb0="00000001" w:usb1="080E0000" w:usb2="00000000" w:usb3="00000000" w:csb0="00040000" w:csb1="00000000"/>
  </w:font>
  <w:font w:name="楷体_GB2312">
    <w:panose1 w:val="02010609030101010101"/>
    <w:charset w:val="86"/>
    <w:family w:val="auto"/>
    <w:pitch w:val="default"/>
    <w:sig w:usb0="00000001" w:usb1="080E0000" w:usb2="00000000" w:usb3="00000000" w:csb0="0004000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tabs>
        <w:tab w:val="center" w:pos="4153"/>
        <w:tab w:val="right" w:pos="8306"/>
      </w:tabs>
      <w:rPr>
        <w:rFonts w:hint="eastAsia" w:ascii="宋体" w:hAnsi="宋体" w:eastAsia="宋体" w:cs="宋体"/>
        <w:sz w:val="28"/>
        <w:szCs w:val="28"/>
      </w:rP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tabs>
        <w:tab w:val="center" w:pos="4153"/>
        <w:tab w:val="right" w:pos="8306"/>
      </w:tabs>
      <w:rPr>
        <w:rFonts w:hint="eastAsia" w:ascii="宋体" w:hAnsi="宋体" w:eastAsia="宋体" w:cs="宋体"/>
        <w:sz w:val="28"/>
        <w:szCs w:val="28"/>
      </w:rP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tabs>
        <w:tab w:val="center" w:pos="4153"/>
        <w:tab w:val="right" w:pos="8306"/>
      </w:tabs>
      <w:rPr>
        <w:rFonts w:hint="eastAsia" w:ascii="宋体" w:hAnsi="宋体" w:eastAsia="宋体" w:cs="宋体"/>
        <w:sz w:val="28"/>
        <w:szCs w:val="28"/>
      </w:rPr>
    </w:pPr>
    <w:r>
      <w:rPr>
        <w:sz w:val="28"/>
      </w:rPr>
      <mc:AlternateContent>
        <mc:Choice Requires="wps">
          <w:drawing>
            <wp:anchor distT="0" distB="0" distL="114300" distR="114300" simplePos="0" relativeHeight="251660288" behindDoc="0" locked="0" layoutInCell="1" allowOverlap="1">
              <wp:simplePos x="0" y="0"/>
              <wp:positionH relativeFrom="margin">
                <wp:align>outside</wp:align>
              </wp:positionH>
              <wp:positionV relativeFrom="paragraph">
                <wp:posOffset>0</wp:posOffset>
              </wp:positionV>
              <wp:extent cx="1828800" cy="1828800"/>
              <wp:effectExtent l="0" t="0" r="0" b="0"/>
              <wp:wrapNone/>
              <wp:docPr id="1" name="文本框 1"/>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2"/>
                            <w:keepNext w:val="0"/>
                            <w:keepLines w:val="0"/>
                            <w:pageBreakBefore w:val="0"/>
                            <w:widowControl w:val="0"/>
                            <w:kinsoku/>
                            <w:wordWrap/>
                            <w:overflowPunct/>
                            <w:topLinePunct w:val="0"/>
                            <w:autoSpaceDE/>
                            <w:autoSpaceDN/>
                            <w:bidi w:val="0"/>
                            <w:adjustRightInd/>
                            <w:snapToGrid w:val="0"/>
                            <w:spacing w:line="240" w:lineRule="auto"/>
                            <w:ind w:left="0" w:leftChars="0" w:right="210" w:rightChars="100" w:firstLine="0" w:firstLineChars="0"/>
                            <w:jc w:val="both"/>
                            <w:textAlignment w:val="auto"/>
                            <w:outlineLvl w:val="9"/>
                            <w:rPr>
                              <w:rFonts w:hint="eastAsia" w:ascii="宋体" w:hAnsi="宋体" w:eastAsia="宋体" w:cs="宋体"/>
                              <w:sz w:val="28"/>
                              <w:szCs w:val="28"/>
                              <w:lang w:eastAsia="zh-CN"/>
                            </w:rPr>
                          </w:pPr>
                          <w:r>
                            <w:rPr>
                              <w:rFonts w:hint="eastAsia" w:ascii="宋体" w:hAnsi="宋体" w:eastAsia="宋体" w:cs="宋体"/>
                              <w:sz w:val="28"/>
                              <w:szCs w:val="28"/>
                              <w:lang w:val="en-US" w:eastAsia="zh-CN"/>
                            </w:rPr>
                            <w:t xml:space="preserve">－ </w:t>
                          </w:r>
                          <w:r>
                            <w:rPr>
                              <w:rFonts w:hint="eastAsia" w:ascii="宋体" w:hAnsi="宋体" w:eastAsia="宋体" w:cs="宋体"/>
                              <w:sz w:val="28"/>
                              <w:szCs w:val="28"/>
                              <w:lang w:eastAsia="zh-CN"/>
                            </w:rPr>
                            <w:fldChar w:fldCharType="begin"/>
                          </w:r>
                          <w:r>
                            <w:rPr>
                              <w:rFonts w:hint="eastAsia" w:ascii="宋体" w:hAnsi="宋体" w:eastAsia="宋体" w:cs="宋体"/>
                              <w:sz w:val="28"/>
                              <w:szCs w:val="28"/>
                              <w:lang w:eastAsia="zh-CN"/>
                            </w:rPr>
                            <w:instrText xml:space="preserve"> PAGE  \* MERGEFORMAT </w:instrText>
                          </w:r>
                          <w:r>
                            <w:rPr>
                              <w:rFonts w:hint="eastAsia" w:ascii="宋体" w:hAnsi="宋体" w:eastAsia="宋体" w:cs="宋体"/>
                              <w:sz w:val="28"/>
                              <w:szCs w:val="28"/>
                              <w:lang w:eastAsia="zh-CN"/>
                            </w:rPr>
                            <w:fldChar w:fldCharType="separate"/>
                          </w:r>
                          <w:r>
                            <w:rPr>
                              <w:rFonts w:hint="eastAsia" w:ascii="宋体" w:hAnsi="宋体" w:eastAsia="宋体" w:cs="宋体"/>
                              <w:sz w:val="28"/>
                              <w:szCs w:val="28"/>
                              <w:lang w:eastAsia="zh-CN"/>
                            </w:rPr>
                            <w:t>1</w:t>
                          </w:r>
                          <w:r>
                            <w:rPr>
                              <w:rFonts w:hint="eastAsia" w:ascii="宋体" w:hAnsi="宋体" w:eastAsia="宋体" w:cs="宋体"/>
                              <w:sz w:val="28"/>
                              <w:szCs w:val="28"/>
                              <w:lang w:eastAsia="zh-CN"/>
                            </w:rPr>
                            <w:fldChar w:fldCharType="end"/>
                          </w:r>
                          <w:r>
                            <w:rPr>
                              <w:rFonts w:hint="eastAsia" w:ascii="宋体" w:hAnsi="宋体" w:eastAsia="宋体" w:cs="宋体"/>
                              <w:sz w:val="28"/>
                              <w:szCs w:val="28"/>
                              <w:lang w:val="en-US" w:eastAsia="zh-CN"/>
                            </w:rPr>
                            <w:t xml:space="preserve"> －</w:t>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outside;mso-position-horizontal-relative:margin;mso-wrap-style:none;z-index:251660288;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">
              <v:fill on="f" focussize="0,0"/>
              <v:stroke on="f" weight="0.5pt"/>
              <v:imagedata o:title=""/>
              <o:lock v:ext="edit" aspectratio="f"/>
              <v:textbox inset="0mm,0mm,0mm,0mm" style="mso-fit-shape-to-text:t;">
                <w:txbxContent>
                  <w:p>
                    <w:pPr>
                      <w:pStyle w:val="2"/>
                      <w:keepNext w:val="0"/>
                      <w:keepLines w:val="0"/>
                      <w:pageBreakBefore w:val="0"/>
                      <w:widowControl w:val="0"/>
                      <w:kinsoku/>
                      <w:wordWrap/>
                      <w:overflowPunct/>
                      <w:topLinePunct w:val="0"/>
                      <w:autoSpaceDE/>
                      <w:autoSpaceDN/>
                      <w:bidi w:val="0"/>
                      <w:adjustRightInd/>
                      <w:snapToGrid w:val="0"/>
                      <w:spacing w:line="240" w:lineRule="auto"/>
                      <w:ind w:left="0" w:leftChars="0" w:right="210" w:rightChars="100" w:firstLine="0" w:firstLineChars="0"/>
                      <w:jc w:val="both"/>
                      <w:textAlignment w:val="auto"/>
                      <w:outlineLvl w:val="9"/>
                      <w:rPr>
                        <w:rFonts w:hint="eastAsia" w:ascii="宋体" w:hAnsi="宋体" w:eastAsia="宋体" w:cs="宋体"/>
                        <w:sz w:val="28"/>
                        <w:szCs w:val="28"/>
                        <w:lang w:eastAsia="zh-CN"/>
                      </w:rPr>
                    </w:pPr>
                    <w:r>
                      <w:rPr>
                        <w:rFonts w:hint="eastAsia" w:ascii="宋体" w:hAnsi="宋体" w:eastAsia="宋体" w:cs="宋体"/>
                        <w:sz w:val="28"/>
                        <w:szCs w:val="28"/>
                        <w:lang w:val="en-US" w:eastAsia="zh-CN"/>
                      </w:rPr>
                      <w:t xml:space="preserve">－ </w:t>
                    </w:r>
                    <w:r>
                      <w:rPr>
                        <w:rFonts w:hint="eastAsia" w:ascii="宋体" w:hAnsi="宋体" w:eastAsia="宋体" w:cs="宋体"/>
                        <w:sz w:val="28"/>
                        <w:szCs w:val="28"/>
                        <w:lang w:eastAsia="zh-CN"/>
                      </w:rPr>
                      <w:fldChar w:fldCharType="begin"/>
                    </w:r>
                    <w:r>
                      <w:rPr>
                        <w:rFonts w:hint="eastAsia" w:ascii="宋体" w:hAnsi="宋体" w:eastAsia="宋体" w:cs="宋体"/>
                        <w:sz w:val="28"/>
                        <w:szCs w:val="28"/>
                        <w:lang w:eastAsia="zh-CN"/>
                      </w:rPr>
                      <w:instrText xml:space="preserve"> PAGE  \* MERGEFORMAT </w:instrText>
                    </w:r>
                    <w:r>
                      <w:rPr>
                        <w:rFonts w:hint="eastAsia" w:ascii="宋体" w:hAnsi="宋体" w:eastAsia="宋体" w:cs="宋体"/>
                        <w:sz w:val="28"/>
                        <w:szCs w:val="28"/>
                        <w:lang w:eastAsia="zh-CN"/>
                      </w:rPr>
                      <w:fldChar w:fldCharType="separate"/>
                    </w:r>
                    <w:r>
                      <w:rPr>
                        <w:rFonts w:hint="eastAsia" w:ascii="宋体" w:hAnsi="宋体" w:eastAsia="宋体" w:cs="宋体"/>
                        <w:sz w:val="28"/>
                        <w:szCs w:val="28"/>
                        <w:lang w:eastAsia="zh-CN"/>
                      </w:rPr>
                      <w:t>1</w:t>
                    </w:r>
                    <w:r>
                      <w:rPr>
                        <w:rFonts w:hint="eastAsia" w:ascii="宋体" w:hAnsi="宋体" w:eastAsia="宋体" w:cs="宋体"/>
                        <w:sz w:val="28"/>
                        <w:szCs w:val="28"/>
                        <w:lang w:eastAsia="zh-CN"/>
                      </w:rPr>
                      <w:fldChar w:fldCharType="end"/>
                    </w:r>
                    <w:r>
                      <w:rPr>
                        <w:rFonts w:hint="eastAsia" w:ascii="宋体" w:hAnsi="宋体" w:eastAsia="宋体" w:cs="宋体"/>
                        <w:sz w:val="28"/>
                        <w:szCs w:val="28"/>
                        <w:lang w:val="en-US" w:eastAsia="zh-CN"/>
                      </w:rPr>
                      <w:t xml:space="preserve"> －</w:t>
                    </w:r>
                  </w:p>
                </w:txbxContent>
              </v:textbox>
            </v:shape>
          </w:pict>
        </mc:Fallback>
      </mc:AlternateContent>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tabs>
        <w:tab w:val="center" w:pos="4153"/>
        <w:tab w:val="right" w:pos="8306"/>
      </w:tabs>
      <w:rPr>
        <w:rFonts w:hint="eastAsia" w:ascii="宋体" w:hAnsi="宋体" w:eastAsia="宋体" w:cs="宋体"/>
        <w:sz w:val="28"/>
        <w:szCs w:val="28"/>
      </w:rPr>
    </w:pPr>
    <w:r>
      <w:rPr>
        <w:sz w:val="28"/>
      </w:rPr>
      <mc:AlternateContent>
        <mc:Choice Requires="wps">
          <w:drawing>
            <wp:anchor distT="0" distB="0" distL="114300" distR="114300" simplePos="0" relativeHeight="251662336" behindDoc="0" locked="0" layoutInCell="1" allowOverlap="1">
              <wp:simplePos x="0" y="0"/>
              <wp:positionH relativeFrom="margin">
                <wp:align>outside</wp:align>
              </wp:positionH>
              <wp:positionV relativeFrom="paragraph">
                <wp:posOffset>0</wp:posOffset>
              </wp:positionV>
              <wp:extent cx="1828800" cy="1828800"/>
              <wp:effectExtent l="0" t="0" r="0" b="0"/>
              <wp:wrapNone/>
              <wp:docPr id="2" name="文本框 2"/>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2"/>
                            <w:keepNext w:val="0"/>
                            <w:keepLines w:val="0"/>
                            <w:pageBreakBefore w:val="0"/>
                            <w:widowControl w:val="0"/>
                            <w:kinsoku/>
                            <w:wordWrap/>
                            <w:overflowPunct/>
                            <w:topLinePunct w:val="0"/>
                            <w:autoSpaceDE/>
                            <w:autoSpaceDN/>
                            <w:bidi w:val="0"/>
                            <w:adjustRightInd/>
                            <w:snapToGrid w:val="0"/>
                            <w:spacing w:line="240" w:lineRule="auto"/>
                            <w:ind w:left="210" w:leftChars="100" w:right="0" w:rightChars="0" w:firstLine="0" w:firstLineChars="0"/>
                            <w:jc w:val="both"/>
                            <w:textAlignment w:val="auto"/>
                            <w:outlineLvl w:val="9"/>
                            <w:rPr>
                              <w:rFonts w:hint="eastAsia" w:ascii="宋体" w:hAnsi="宋体" w:eastAsia="宋体" w:cs="宋体"/>
                              <w:sz w:val="28"/>
                              <w:szCs w:val="28"/>
                              <w:lang w:eastAsia="zh-CN"/>
                            </w:rPr>
                          </w:pPr>
                          <w:r>
                            <w:rPr>
                              <w:rFonts w:hint="eastAsia" w:ascii="宋体" w:hAnsi="宋体" w:eastAsia="宋体" w:cs="宋体"/>
                              <w:sz w:val="28"/>
                              <w:szCs w:val="28"/>
                              <w:lang w:val="en-US" w:eastAsia="zh-CN"/>
                            </w:rPr>
                            <w:t xml:space="preserve">－ </w:t>
                          </w:r>
                          <w:r>
                            <w:rPr>
                              <w:rFonts w:hint="eastAsia" w:ascii="宋体" w:hAnsi="宋体" w:eastAsia="宋体" w:cs="宋体"/>
                              <w:sz w:val="28"/>
                              <w:szCs w:val="28"/>
                              <w:lang w:eastAsia="zh-CN"/>
                            </w:rPr>
                            <w:fldChar w:fldCharType="begin"/>
                          </w:r>
                          <w:r>
                            <w:rPr>
                              <w:rFonts w:hint="eastAsia" w:ascii="宋体" w:hAnsi="宋体" w:eastAsia="宋体" w:cs="宋体"/>
                              <w:sz w:val="28"/>
                              <w:szCs w:val="28"/>
                              <w:lang w:eastAsia="zh-CN"/>
                            </w:rPr>
                            <w:instrText xml:space="preserve"> PAGE  \* MERGEFORMAT </w:instrText>
                          </w:r>
                          <w:r>
                            <w:rPr>
                              <w:rFonts w:hint="eastAsia" w:ascii="宋体" w:hAnsi="宋体" w:eastAsia="宋体" w:cs="宋体"/>
                              <w:sz w:val="28"/>
                              <w:szCs w:val="28"/>
                              <w:lang w:eastAsia="zh-CN"/>
                            </w:rPr>
                            <w:fldChar w:fldCharType="separate"/>
                          </w:r>
                          <w:r>
                            <w:rPr>
                              <w:rFonts w:hint="eastAsia" w:ascii="宋体" w:hAnsi="宋体" w:eastAsia="宋体" w:cs="宋体"/>
                              <w:sz w:val="28"/>
                              <w:szCs w:val="28"/>
                              <w:lang w:eastAsia="zh-CN"/>
                            </w:rPr>
                            <w:t>2</w:t>
                          </w:r>
                          <w:r>
                            <w:rPr>
                              <w:rFonts w:hint="eastAsia" w:ascii="宋体" w:hAnsi="宋体" w:eastAsia="宋体" w:cs="宋体"/>
                              <w:sz w:val="28"/>
                              <w:szCs w:val="28"/>
                              <w:lang w:eastAsia="zh-CN"/>
                            </w:rPr>
                            <w:fldChar w:fldCharType="end"/>
                          </w:r>
                          <w:r>
                            <w:rPr>
                              <w:rFonts w:hint="eastAsia" w:ascii="宋体" w:hAnsi="宋体" w:eastAsia="宋体" w:cs="宋体"/>
                              <w:sz w:val="28"/>
                              <w:szCs w:val="28"/>
                              <w:lang w:val="en-US" w:eastAsia="zh-CN"/>
                            </w:rPr>
                            <w:t xml:space="preserve"> －</w:t>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outside;mso-position-horizontal-relative:margin;mso-wrap-style:none;z-index:251662336;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">
              <v:fill on="f" focussize="0,0"/>
              <v:stroke on="f" weight="0.5pt"/>
              <v:imagedata o:title=""/>
              <o:lock v:ext="edit" aspectratio="f"/>
              <v:textbox inset="0mm,0mm,0mm,0mm" style="mso-fit-shape-to-text:t;">
                <w:txbxContent>
                  <w:p>
                    <w:pPr>
                      <w:pStyle w:val="2"/>
                      <w:keepNext w:val="0"/>
                      <w:keepLines w:val="0"/>
                      <w:pageBreakBefore w:val="0"/>
                      <w:widowControl w:val="0"/>
                      <w:kinsoku/>
                      <w:wordWrap/>
                      <w:overflowPunct/>
                      <w:topLinePunct w:val="0"/>
                      <w:autoSpaceDE/>
                      <w:autoSpaceDN/>
                      <w:bidi w:val="0"/>
                      <w:adjustRightInd/>
                      <w:snapToGrid w:val="0"/>
                      <w:spacing w:line="240" w:lineRule="auto"/>
                      <w:ind w:left="210" w:leftChars="100" w:right="0" w:rightChars="0" w:firstLine="0" w:firstLineChars="0"/>
                      <w:jc w:val="both"/>
                      <w:textAlignment w:val="auto"/>
                      <w:outlineLvl w:val="9"/>
                      <w:rPr>
                        <w:rFonts w:hint="eastAsia" w:ascii="宋体" w:hAnsi="宋体" w:eastAsia="宋体" w:cs="宋体"/>
                        <w:sz w:val="28"/>
                        <w:szCs w:val="28"/>
                        <w:lang w:eastAsia="zh-CN"/>
                      </w:rPr>
                    </w:pPr>
                    <w:r>
                      <w:rPr>
                        <w:rFonts w:hint="eastAsia" w:ascii="宋体" w:hAnsi="宋体" w:eastAsia="宋体" w:cs="宋体"/>
                        <w:sz w:val="28"/>
                        <w:szCs w:val="28"/>
                        <w:lang w:val="en-US" w:eastAsia="zh-CN"/>
                      </w:rPr>
                      <w:t xml:space="preserve">－ </w:t>
                    </w:r>
                    <w:r>
                      <w:rPr>
                        <w:rFonts w:hint="eastAsia" w:ascii="宋体" w:hAnsi="宋体" w:eastAsia="宋体" w:cs="宋体"/>
                        <w:sz w:val="28"/>
                        <w:szCs w:val="28"/>
                        <w:lang w:eastAsia="zh-CN"/>
                      </w:rPr>
                      <w:fldChar w:fldCharType="begin"/>
                    </w:r>
                    <w:r>
                      <w:rPr>
                        <w:rFonts w:hint="eastAsia" w:ascii="宋体" w:hAnsi="宋体" w:eastAsia="宋体" w:cs="宋体"/>
                        <w:sz w:val="28"/>
                        <w:szCs w:val="28"/>
                        <w:lang w:eastAsia="zh-CN"/>
                      </w:rPr>
                      <w:instrText xml:space="preserve"> PAGE  \* MERGEFORMAT </w:instrText>
                    </w:r>
                    <w:r>
                      <w:rPr>
                        <w:rFonts w:hint="eastAsia" w:ascii="宋体" w:hAnsi="宋体" w:eastAsia="宋体" w:cs="宋体"/>
                        <w:sz w:val="28"/>
                        <w:szCs w:val="28"/>
                        <w:lang w:eastAsia="zh-CN"/>
                      </w:rPr>
                      <w:fldChar w:fldCharType="separate"/>
                    </w:r>
                    <w:r>
                      <w:rPr>
                        <w:rFonts w:hint="eastAsia" w:ascii="宋体" w:hAnsi="宋体" w:eastAsia="宋体" w:cs="宋体"/>
                        <w:sz w:val="28"/>
                        <w:szCs w:val="28"/>
                        <w:lang w:eastAsia="zh-CN"/>
                      </w:rPr>
                      <w:t>2</w:t>
                    </w:r>
                    <w:r>
                      <w:rPr>
                        <w:rFonts w:hint="eastAsia" w:ascii="宋体" w:hAnsi="宋体" w:eastAsia="宋体" w:cs="宋体"/>
                        <w:sz w:val="28"/>
                        <w:szCs w:val="28"/>
                        <w:lang w:eastAsia="zh-CN"/>
                      </w:rPr>
                      <w:fldChar w:fldCharType="end"/>
                    </w:r>
                    <w:r>
                      <w:rPr>
                        <w:rFonts w:hint="eastAsia" w:ascii="宋体" w:hAnsi="宋体" w:eastAsia="宋体" w:cs="宋体"/>
                        <w:sz w:val="28"/>
                        <w:szCs w:val="28"/>
                        <w:lang w:val="en-US" w:eastAsia="zh-CN"/>
                      </w:rPr>
                      <w:t xml:space="preserve"> －</w:t>
                    </w:r>
                  </w:p>
                </w:txbxContent>
              </v:textbox>
            </v:shape>
          </w:pict>
        </mc:Fallback>
      </mc:AlternateContent>
    </w:r>
  </w:p>
</w:ft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30"/>
  <w:bordersDoNotSurroundHeader w:val="1"/>
  <w:bordersDoNotSurroundFooter w:val="1"/>
  <w:attachedTemplate r:id="rId1"/>
  <w:documentProtection w:enforcement="0"/>
  <w:defaultTabStop w:val="420"/>
  <w:hyphenationZone w:val="360"/>
  <w:evenAndOddHeaders w:val="1"/>
  <w:drawingGridVerticalSpacing w:val="156"/>
  <w:displayHorizontalDrawingGridEvery w:val="0"/>
  <w:displayVerticalDrawingGridEvery w:val="2"/>
  <w:characterSpacingControl w:val="compressPunctuation"/>
  <w:hdrShapeDefaults>
    <o:shapelayout v:ext="edit">
      <o:idmap v:ext="edit" data="3,4"/>
    </o:shapelayout>
  </w:hdrShapeDefaults>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27B86262"/>
    <w:rsid w:val="00323D76"/>
    <w:rsid w:val="02380A4E"/>
    <w:rsid w:val="02C54CFB"/>
    <w:rsid w:val="042F174E"/>
    <w:rsid w:val="0751543E"/>
    <w:rsid w:val="0BE369DE"/>
    <w:rsid w:val="0F9D48A9"/>
    <w:rsid w:val="0FC66F39"/>
    <w:rsid w:val="135B4974"/>
    <w:rsid w:val="19EF53F7"/>
    <w:rsid w:val="1C547AC8"/>
    <w:rsid w:val="20194FCD"/>
    <w:rsid w:val="211007F7"/>
    <w:rsid w:val="224D5C1E"/>
    <w:rsid w:val="24BB7AE5"/>
    <w:rsid w:val="27B86262"/>
    <w:rsid w:val="28B53323"/>
    <w:rsid w:val="2A483D38"/>
    <w:rsid w:val="2A844039"/>
    <w:rsid w:val="2CFE6EE4"/>
    <w:rsid w:val="2D725F92"/>
    <w:rsid w:val="302E782D"/>
    <w:rsid w:val="325C564C"/>
    <w:rsid w:val="36AE6775"/>
    <w:rsid w:val="38787F7C"/>
    <w:rsid w:val="39191BFA"/>
    <w:rsid w:val="3D717517"/>
    <w:rsid w:val="3FBC61B7"/>
    <w:rsid w:val="4AEF215E"/>
    <w:rsid w:val="4DA15956"/>
    <w:rsid w:val="4E7D2A86"/>
    <w:rsid w:val="501B3EB2"/>
    <w:rsid w:val="5027117E"/>
    <w:rsid w:val="529D3369"/>
    <w:rsid w:val="56C00D65"/>
    <w:rsid w:val="5A3C0766"/>
    <w:rsid w:val="65586BE5"/>
    <w:rsid w:val="6D800228"/>
    <w:rsid w:val="6DAD6BF0"/>
    <w:rsid w:val="6E1B4105"/>
    <w:rsid w:val="6EB66F23"/>
    <w:rsid w:val="75FA67F7"/>
  </w:rsids>
  <m:mathPr>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mc:Ignorable="w14">
  <w:docDefaults>
    <w:rPrDefault>
      <w:rPr>
        <w:rFonts w:ascii="Calibri" w:hAnsi="Calibri" w:eastAsia="宋体" w:cs="Times New Roman"/>
      </w:rPr>
    </w:r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qFormat="1"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Calibri" w:hAnsi="Calibri" w:eastAsia="宋体" w:cs="Times New Roman"/>
      <w:kern w:val="2"/>
      <w:sz w:val="21"/>
      <w:szCs w:val="24"/>
      <w:lang w:val="en-US" w:eastAsia="zh-CN" w:bidi="ar-SA"/>
    </w:rPr>
  </w:style>
  <w:style w:type="character" w:default="1" w:styleId="4">
    <w:name w:val="Default Paragraph Font"/>
    <w:semiHidden/>
    <w:qFormat/>
    <w:uiPriority w:val="0"/>
  </w:style>
  <w:style w:type="table" w:default="1" w:styleId="5">
    <w:name w:val="Normal Table"/>
    <w:semiHidden/>
    <w:uiPriority w:val="0"/>
    <w:tblPr>
      <w:tblLayout w:type="fixed"/>
      <w:tblCellMar>
        <w:top w:w="0" w:type="dxa"/>
        <w:left w:w="108" w:type="dxa"/>
        <w:bottom w:w="0" w:type="dxa"/>
        <w:right w:w="108" w:type="dxa"/>
      </w:tblCellMar>
    </w:tblPr>
  </w:style>
  <w:style w:type="paragraph" w:styleId="2">
    <w:name w:val="footer"/>
    <w:basedOn w:val="1"/>
    <w:uiPriority w:val="0"/>
    <w:pPr>
      <w:tabs>
        <w:tab w:val="center" w:pos="4153"/>
        <w:tab w:val="right" w:pos="8306"/>
      </w:tabs>
      <w:snapToGrid w:val="0"/>
      <w:jc w:val="left"/>
    </w:pPr>
    <w:rPr>
      <w:sz w:val="18"/>
    </w:rPr>
  </w:style>
  <w:style w:type="paragraph" w:styleId="3">
    <w:name w:val="header"/>
    <w:basedOn w:val="1"/>
    <w:qFormat/>
    <w:uiPriority w:val="0"/>
    <w:pPr>
      <w:pBdr>
        <w:top w:val="none" w:color="auto" w:sz="0" w:space="1"/>
        <w:left w:val="none" w:color="auto" w:sz="0" w:space="4"/>
        <w:bottom w:val="none" w:color="auto" w:sz="0" w:space="1"/>
        <w:right w:val="none" w:color="auto" w:sz="0" w:space="4"/>
      </w:pBdr>
      <w:tabs>
        <w:tab w:val="center" w:pos="4153"/>
        <w:tab w:val="right" w:pos="8306"/>
      </w:tabs>
      <w:snapToGrid w:val="0"/>
      <w:spacing w:line="240" w:lineRule="auto"/>
      <w:jc w:val="both"/>
      <w:outlineLvl w:val="9"/>
    </w:pPr>
    <w:rPr>
      <w:sz w:val="18"/>
    </w:rPr>
  </w:style>
  <w:style w:type="paragraph" w:customStyle="1" w:styleId="6">
    <w:name w:val="目录"/>
    <w:basedOn w:val="1"/>
    <w:qFormat/>
    <w:uiPriority w:val="0"/>
    <w:pPr>
      <w:spacing w:line="560" w:lineRule="exact"/>
      <w:jc w:val="center"/>
    </w:pPr>
    <w:rPr>
      <w:rFonts w:ascii="楷体_GB2312" w:hAnsi="楷体_GB2312" w:eastAsia="楷体_GB2312" w:cs="楷体_GB2312"/>
      <w:sz w:val="32"/>
      <w:szCs w:val="32"/>
    </w:rPr>
  </w:style>
  <w:style w:type="paragraph" w:customStyle="1" w:styleId="7">
    <w:name w:val="标题名"/>
    <w:basedOn w:val="1"/>
    <w:qFormat/>
    <w:uiPriority w:val="0"/>
    <w:pPr>
      <w:spacing w:line="560" w:lineRule="exact"/>
      <w:jc w:val="center"/>
    </w:pPr>
    <w:rPr>
      <w:rFonts w:hint="eastAsia" w:ascii="宋体" w:hAnsi="宋体" w:cs="宋体"/>
      <w:sz w:val="44"/>
      <w:szCs w:val="44"/>
    </w:rPr>
  </w:style>
  <w:style w:type="paragraph" w:customStyle="1" w:styleId="8">
    <w:name w:val="表字居中"/>
    <w:basedOn w:val="1"/>
    <w:qFormat/>
    <w:uiPriority w:val="0"/>
    <w:pPr>
      <w:spacing w:line="560" w:lineRule="exact"/>
      <w:jc w:val="center"/>
    </w:pPr>
    <w:rPr>
      <w:rFonts w:ascii="宋体" w:hAnsi="宋体" w:cs="宋体"/>
      <w:szCs w:val="21"/>
    </w:rPr>
  </w:style>
  <w:style w:type="paragraph" w:customStyle="1" w:styleId="9">
    <w:name w:val="一、"/>
    <w:basedOn w:val="1"/>
    <w:uiPriority w:val="0"/>
    <w:pPr>
      <w:spacing w:line="560" w:lineRule="exact"/>
      <w:ind w:firstLine="420" w:firstLineChars="200"/>
    </w:pPr>
    <w:rPr>
      <w:rFonts w:ascii="黑体" w:hAnsi="黑体" w:eastAsia="黑体" w:cs="黑体"/>
      <w:sz w:val="32"/>
      <w:szCs w:val="32"/>
    </w:rPr>
  </w:style>
  <w:style w:type="paragraph" w:customStyle="1" w:styleId="10">
    <w:name w:val="落款"/>
    <w:basedOn w:val="1"/>
    <w:qFormat/>
    <w:uiPriority w:val="0"/>
    <w:pPr>
      <w:spacing w:line="560" w:lineRule="exact"/>
      <w:ind w:right="630" w:rightChars="300"/>
      <w:jc w:val="right"/>
    </w:pPr>
    <w:rPr>
      <w:rFonts w:ascii="仿宋_GB2312" w:hAnsi="仿宋_GB2312" w:eastAsia="仿宋_GB2312" w:cs="仿宋_GB2312"/>
      <w:sz w:val="32"/>
      <w:szCs w:val="32"/>
    </w:rPr>
  </w:style>
  <w:style w:type="paragraph" w:customStyle="1" w:styleId="11">
    <w:name w:val="附/附件"/>
    <w:basedOn w:val="1"/>
    <w:qFormat/>
    <w:uiPriority w:val="0"/>
    <w:pPr>
      <w:spacing w:line="560" w:lineRule="exact"/>
      <w:jc w:val="left"/>
    </w:pPr>
    <w:rPr>
      <w:rFonts w:ascii="黑体" w:hAnsi="黑体" w:eastAsia="黑体" w:cs="黑体"/>
      <w:sz w:val="32"/>
      <w:szCs w:val="32"/>
    </w:rPr>
  </w:style>
  <w:style w:type="paragraph" w:customStyle="1" w:styleId="12">
    <w:name w:val="正文字体"/>
    <w:basedOn w:val="1"/>
    <w:uiPriority w:val="0"/>
    <w:pPr>
      <w:spacing w:line="560" w:lineRule="exact"/>
      <w:ind w:firstLine="640" w:firstLineChars="200"/>
    </w:pPr>
    <w:rPr>
      <w:rFonts w:ascii="仿宋_GB2312" w:hAnsi="仿宋_GB2312" w:eastAsia="仿宋_GB2312" w:cs="仿宋_GB2312"/>
      <w:sz w:val="32"/>
      <w:szCs w:val="32"/>
    </w:rPr>
  </w:style>
  <w:style w:type="paragraph" w:customStyle="1" w:styleId="13">
    <w:name w:val="章"/>
    <w:basedOn w:val="1"/>
    <w:qFormat/>
    <w:uiPriority w:val="0"/>
    <w:pPr>
      <w:spacing w:line="560" w:lineRule="exact"/>
      <w:jc w:val="center"/>
    </w:pPr>
    <w:rPr>
      <w:rFonts w:ascii="黑体" w:hAnsi="黑体" w:eastAsia="黑体" w:cs="黑体"/>
      <w:sz w:val="32"/>
      <w:szCs w:val="32"/>
    </w:rPr>
  </w:style>
  <w:style w:type="paragraph" w:customStyle="1" w:styleId="14">
    <w:name w:val="（一）"/>
    <w:basedOn w:val="1"/>
    <w:qFormat/>
    <w:uiPriority w:val="0"/>
    <w:pPr>
      <w:spacing w:line="560" w:lineRule="exact"/>
      <w:ind w:firstLine="420" w:firstLineChars="200"/>
    </w:pPr>
    <w:rPr>
      <w:rFonts w:ascii="楷体_GB2312" w:hAnsi="楷体_GB2312" w:eastAsia="楷体_GB2312" w:cs="楷体_GB2312"/>
      <w:sz w:val="32"/>
      <w:szCs w:val="32"/>
    </w:rPr>
  </w:style>
  <w:style w:type="paragraph" w:customStyle="1" w:styleId="15">
    <w:name w:val="表字"/>
    <w:basedOn w:val="1"/>
    <w:qFormat/>
    <w:uiPriority w:val="0"/>
    <w:pPr>
      <w:spacing w:line="560" w:lineRule="exact"/>
      <w:jc w:val="left"/>
    </w:pPr>
    <w:rPr>
      <w:rFonts w:ascii="宋体" w:hAnsi="宋体" w:cs="宋体"/>
      <w:szCs w:val="21"/>
    </w:rPr>
  </w:style>
  <w:style w:type="paragraph" w:customStyle="1" w:styleId="16">
    <w:name w:val="修改废止公布内容"/>
    <w:basedOn w:val="1"/>
    <w:uiPriority w:val="0"/>
    <w:pPr>
      <w:spacing w:line="560" w:lineRule="exact"/>
      <w:jc w:val="center"/>
    </w:pPr>
    <w:rPr>
      <w:rFonts w:ascii="楷体_GB2312" w:hAnsi="楷体_GB2312" w:eastAsia="楷体_GB2312" w:cs="楷体_GB2312"/>
      <w:sz w:val="32"/>
      <w:szCs w:val="32"/>
    </w:rPr>
  </w:style>
  <w:style w:type="paragraph" w:customStyle="1" w:styleId="17">
    <w:name w:val="正式公布内容"/>
    <w:basedOn w:val="1"/>
    <w:uiPriority w:val="0"/>
    <w:pPr>
      <w:spacing w:line="560" w:lineRule="exact"/>
      <w:ind w:left="630" w:leftChars="300" w:right="630" w:rightChars="300" w:firstLine="0" w:firstLineChars="0"/>
    </w:pPr>
    <w:rPr>
      <w:rFonts w:ascii="楷体_GB2312" w:hAnsi="楷体_GB2312" w:eastAsia="楷体_GB2312" w:cs="楷体_GB2312"/>
      <w:sz w:val="32"/>
      <w:szCs w:val="32"/>
    </w:rPr>
  </w:style>
  <w:style w:type="paragraph" w:customStyle="1" w:styleId="18">
    <w:name w:val="目录内容"/>
    <w:basedOn w:val="1"/>
    <w:qFormat/>
    <w:uiPriority w:val="0"/>
    <w:pPr>
      <w:spacing w:line="560" w:lineRule="exact"/>
      <w:jc w:val="left"/>
    </w:pPr>
    <w:rPr>
      <w:rFonts w:ascii="楷体_GB2312" w:hAnsi="楷体_GB2312" w:eastAsia="楷体_GB2312" w:cs="楷体_GB2312"/>
      <w:sz w:val="32"/>
      <w:szCs w:val="32"/>
    </w:rPr>
  </w:style>
  <w:style w:type="paragraph" w:customStyle="1" w:styleId="19">
    <w:name w:val="文号居中"/>
    <w:basedOn w:val="1"/>
    <w:uiPriority w:val="0"/>
    <w:pPr>
      <w:spacing w:line="560" w:lineRule="exact"/>
      <w:jc w:val="center"/>
    </w:pPr>
    <w:rPr>
      <w:rFonts w:ascii="楷体_GB2312" w:hAnsi="楷体_GB2312" w:eastAsia="楷体_GB2312" w:cs="楷体_GB2312"/>
      <w:sz w:val="32"/>
      <w:szCs w:val="32"/>
    </w:rPr>
  </w:style>
  <w:style w:type="paragraph" w:customStyle="1" w:styleId="20">
    <w:name w:val="节"/>
    <w:basedOn w:val="1"/>
    <w:qFormat/>
    <w:uiPriority w:val="0"/>
    <w:pPr>
      <w:spacing w:line="560" w:lineRule="exact"/>
      <w:jc w:val="center"/>
    </w:pPr>
    <w:rPr>
      <w:rFonts w:ascii="宋体" w:hAnsi="宋体" w:cs="宋体"/>
      <w:sz w:val="32"/>
      <w:szCs w:val="32"/>
    </w:rPr>
  </w:style>
  <w:style w:type="paragraph" w:customStyle="1" w:styleId="21">
    <w:name w:val="抬头"/>
    <w:basedOn w:val="12"/>
    <w:uiPriority w:val="0"/>
    <w:pPr>
      <w:ind w:firstLine="0" w:firstLineChars="0"/>
      <w:jc w:val="left"/>
    </w:pPr>
  </w:style>
  <w:style w:type="paragraph" w:customStyle="1" w:styleId="22">
    <w:name w:val="日期文号"/>
    <w:basedOn w:val="12"/>
    <w:qFormat/>
    <w:uiPriority w:val="0"/>
    <w:pPr>
      <w:ind w:right="1260" w:rightChars="600" w:firstLine="0" w:firstLineChars="0"/>
      <w:jc w:val="right"/>
    </w:pPr>
    <w:rPr>
      <w:rFonts w:ascii="楷体_GB2312" w:hAnsi="楷体_GB2312" w:eastAsia="楷体_GB2312" w:cs="楷体_GB2312"/>
    </w:rPr>
  </w:style>
  <w:style w:type="paragraph" w:customStyle="1" w:styleId="23">
    <w:name w:val="附件1"/>
    <w:basedOn w:val="1"/>
    <w:qFormat/>
    <w:uiPriority w:val="0"/>
    <w:pPr>
      <w:spacing w:line="560" w:lineRule="exact"/>
      <w:jc w:val="left"/>
    </w:pPr>
    <w:rPr>
      <w:rFonts w:ascii="仿宋_GB2312" w:hAnsi="仿宋_GB2312" w:eastAsia="仿宋_GB2312" w:cs="仿宋_GB2312"/>
      <w:sz w:val="32"/>
      <w:szCs w:val="32"/>
    </w:rPr>
  </w:style>
  <w:style w:type="paragraph" w:customStyle="1" w:styleId="24">
    <w:name w:val="表头"/>
    <w:basedOn w:val="1"/>
    <w:uiPriority w:val="0"/>
    <w:pPr>
      <w:spacing w:line="560" w:lineRule="exact"/>
      <w:jc w:val="center"/>
    </w:pPr>
    <w:rPr>
      <w:rFonts w:ascii="黑体" w:hAnsi="黑体" w:eastAsia="黑体" w:cs="黑体"/>
      <w:sz w:val="21"/>
      <w:szCs w:val="21"/>
    </w:rPr>
  </w:style>
  <w:style w:type="character" w:customStyle="1" w:styleId="25">
    <w:name w:val="条文"/>
    <w:basedOn w:val="4"/>
    <w:qFormat/>
    <w:uiPriority w:val="0"/>
    <w:rPr>
      <w:rFonts w:ascii="黑体" w:hAnsi="黑体" w:eastAsia="黑体" w:cs="黑体"/>
      <w:sz w:val="32"/>
      <w:szCs w:val="32"/>
    </w:rPr>
  </w:style>
</w:styles>
</file>

<file path=word/_rels/document.xml.rels><?xml version="1.0" encoding="UTF-8" standalone="yes"?>
<Relationships xmlns="http://schemas.openxmlformats.org/package/2006/relationships"><Relationship Id="rId9" Type="http://schemas.openxmlformats.org/officeDocument/2006/relationships/fontTable" Target="fontTable.xml"/><Relationship Id="rId8" Type="http://schemas.openxmlformats.org/officeDocument/2006/relationships/customXml" Target="../customXml/item1.xml"/><Relationship Id="rId7" Type="http://schemas.openxmlformats.org/officeDocument/2006/relationships/theme" Target="theme/theme1.xml"/><Relationship Id="rId6" Type="http://schemas.openxmlformats.org/officeDocument/2006/relationships/footer" Target="footer4.xml"/><Relationship Id="rId5" Type="http://schemas.openxmlformats.org/officeDocument/2006/relationships/footer" Target="footer3.xml"/><Relationship Id="rId4" Type="http://schemas.openxmlformats.org/officeDocument/2006/relationships/footer" Target="footer2.xml"/><Relationship Id="rId3"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Administrator\AppData\Roaming\Kingsoft\office6\templates\wps\zh_CN\&#27169;&#26495;.dotx" TargetMode="External"/></Relationships>
</file>

<file path=word/theme/theme1.xml><?xml version="1.0" encoding="utf-8"?>
<a:theme xmlns:a="http://schemas.openxmlformats.org/drawingml/2006/main" name="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atMod val="350000"/>
                <a:shade val="99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模板.dotx</Template>
  <Pages>1</Pages>
  <Words>0</Words>
  <Characters>0</Characters>
  <Lines>0</Lines>
  <Paragraphs>0</Paragraphs>
  <ScaleCrop>false</ScaleCrop>
  <LinksUpToDate>false</LinksUpToDate>
  <CharactersWithSpaces>0</CharactersWithSpaces>
  <Application>WPS Office_10.1.0.6930_F1E327BC-269C-435d-A152-05C5408002CA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2017-11-02T12:38:00Z</dcterms:created>
  <dc:creator>Administrator</dc:creator>
  <cp:lastModifiedBy>爱思思</cp:lastModifiedBy>
  <dcterms:modified xsi:type="dcterms:W3CDTF">2017-11-20T02:10:44Z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2052-10.1.0.6930</vt:lpwstr>
  </property>
</Properties>
</file>