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rPr>
          <w:rFonts w:hint="eastAsia" w:ascii="宋体" w:hAnsi="宋体" w:eastAsia="宋体" w:cs="宋体"/>
        </w:rPr>
      </w:pPr>
      <w:bookmarkStart w:id="0" w:name="_GoBack"/>
      <w:bookmarkEnd w:id="0"/>
    </w:p>
    <w:p>
      <w:pPr>
        <w:pStyle w:val="12"/>
        <w:rPr>
          <w:rFonts w:hint="eastAsia" w:ascii="宋体" w:hAnsi="宋体" w:eastAsia="宋体" w:cs="宋体"/>
        </w:rPr>
      </w:pPr>
    </w:p>
    <w:p>
      <w:pPr>
        <w:pStyle w:val="7"/>
        <w:rPr>
          <w:rFonts w:hint="eastAsia"/>
        </w:rPr>
      </w:pPr>
      <w:r>
        <w:t>最高人民法院</w:t>
      </w:r>
    </w:p>
    <w:p>
      <w:pPr>
        <w:pStyle w:val="7"/>
        <w:rPr>
          <w:rFonts w:hint="eastAsia"/>
        </w:rPr>
      </w:pPr>
      <w:r>
        <w:t>关于印发《关于审理联营合同纠纷案件</w:t>
      </w:r>
    </w:p>
    <w:p>
      <w:pPr>
        <w:pStyle w:val="7"/>
        <w:rPr>
          <w:rFonts w:hint="eastAsia"/>
        </w:rPr>
      </w:pPr>
      <w:r>
        <w:t>若干问题的解答》的通知</w:t>
      </w:r>
    </w:p>
    <w:p>
      <w:pPr>
        <w:pStyle w:val="12"/>
        <w:rPr>
          <w:rFonts w:hint="eastAsia" w:ascii="宋体" w:hAnsi="宋体" w:eastAsia="宋体" w:cs="宋体"/>
        </w:rPr>
      </w:pPr>
    </w:p>
    <w:p>
      <w:pPr>
        <w:pStyle w:val="22"/>
        <w:rPr>
          <w:rFonts w:hint="eastAsia"/>
        </w:rPr>
      </w:pPr>
      <w:r>
        <w:rPr>
          <w:rFonts w:hint="eastAsia"/>
        </w:rPr>
        <w:t>1990</w:t>
      </w:r>
      <w:r>
        <w:t>年11月12日</w:t>
      </w:r>
      <w:r>
        <w:rPr>
          <w:rFonts w:hint="eastAsia"/>
          <w:lang w:val="en-US" w:eastAsia="zh-CN"/>
        </w:rPr>
        <w:t xml:space="preserve">      </w:t>
      </w:r>
      <w:r>
        <w:t>法</w:t>
      </w:r>
      <w:r>
        <w:rPr>
          <w:rFonts w:hint="eastAsia"/>
          <w:lang w:eastAsia="zh-CN"/>
        </w:rPr>
        <w:t>（</w:t>
      </w:r>
      <w:r>
        <w:t>经</w:t>
      </w:r>
      <w:r>
        <w:rPr>
          <w:rFonts w:hint="eastAsia"/>
          <w:lang w:eastAsia="zh-CN"/>
        </w:rPr>
        <w:t>）</w:t>
      </w:r>
      <w:r>
        <w:t>发〔1990〕27号</w:t>
      </w:r>
    </w:p>
    <w:p>
      <w:pPr>
        <w:pStyle w:val="12"/>
        <w:rPr>
          <w:rFonts w:hint="eastAsia" w:ascii="宋体" w:hAnsi="宋体" w:eastAsia="宋体" w:cs="宋体"/>
        </w:rPr>
      </w:pPr>
    </w:p>
    <w:p>
      <w:pPr>
        <w:pStyle w:val="21"/>
        <w:rPr>
          <w:rFonts w:hint="eastAsia"/>
        </w:rPr>
      </w:pPr>
      <w:r>
        <w:t>全国地方各级人民法院</w:t>
      </w:r>
      <w:r>
        <w:rPr>
          <w:rFonts w:hint="eastAsia"/>
        </w:rPr>
        <w:t>，</w:t>
      </w:r>
      <w:r>
        <w:t>各级军事法院</w:t>
      </w:r>
      <w:r>
        <w:rPr>
          <w:rFonts w:hint="eastAsia"/>
        </w:rPr>
        <w:t>，</w:t>
      </w:r>
      <w:r>
        <w:t>铁路运输中级法院和基层法院</w:t>
      </w:r>
      <w:r>
        <w:rPr>
          <w:rFonts w:hint="eastAsia"/>
        </w:rPr>
        <w:t>，</w:t>
      </w:r>
      <w:r>
        <w:t>各海事法院：</w:t>
      </w:r>
    </w:p>
    <w:p>
      <w:pPr>
        <w:pStyle w:val="12"/>
        <w:rPr>
          <w:rFonts w:hint="eastAsia"/>
        </w:rPr>
      </w:pPr>
      <w:r>
        <w:t>现将《关于审理联营合同纠纷案件若干问题的解答》发给你们</w:t>
      </w:r>
      <w:r>
        <w:rPr>
          <w:rFonts w:hint="eastAsia"/>
        </w:rPr>
        <w:t>，</w:t>
      </w:r>
      <w:r>
        <w:t>望在经济审判工作中贯彻执行。执行中有何问题和意见</w:t>
      </w:r>
      <w:r>
        <w:rPr>
          <w:rFonts w:hint="eastAsia"/>
        </w:rPr>
        <w:t>，</w:t>
      </w:r>
      <w:r>
        <w:t>请及时报告我院。</w:t>
      </w:r>
    </w:p>
    <w:p>
      <w:pPr>
        <w:pStyle w:val="12"/>
        <w:rPr>
          <w:rFonts w:hint="eastAsia" w:ascii="宋体" w:hAnsi="宋体" w:eastAsia="宋体" w:cs="宋体"/>
        </w:rPr>
      </w:pPr>
    </w:p>
    <w:p>
      <w:pPr>
        <w:pStyle w:val="11"/>
        <w:rPr>
          <w:rFonts w:hint="eastAsia"/>
        </w:rPr>
      </w:pPr>
      <w:r>
        <w:t>附：</w:t>
      </w:r>
    </w:p>
    <w:p>
      <w:pPr>
        <w:pStyle w:val="12"/>
        <w:rPr>
          <w:rFonts w:hint="eastAsia" w:ascii="宋体" w:hAnsi="宋体" w:eastAsia="宋体" w:cs="宋体"/>
        </w:rPr>
      </w:pPr>
    </w:p>
    <w:p>
      <w:pPr>
        <w:pStyle w:val="12"/>
        <w:rPr>
          <w:rFonts w:hint="eastAsia" w:ascii="宋体" w:hAnsi="宋体" w:eastAsia="宋体" w:cs="宋体"/>
        </w:rPr>
      </w:pPr>
    </w:p>
    <w:p>
      <w:pPr>
        <w:pStyle w:val="7"/>
        <w:rPr>
          <w:rFonts w:hint="eastAsia"/>
        </w:rPr>
      </w:pPr>
      <w:r>
        <w:t>最高人民法院</w:t>
      </w:r>
    </w:p>
    <w:p>
      <w:pPr>
        <w:pStyle w:val="7"/>
      </w:pPr>
      <w:r>
        <w:t>关于审理联营合同纠纷案件若干问题的解答</w:t>
      </w:r>
    </w:p>
    <w:p>
      <w:pPr>
        <w:pStyle w:val="12"/>
        <w:rPr>
          <w:rFonts w:hint="eastAsia" w:ascii="宋体" w:hAnsi="宋体" w:eastAsia="宋体" w:cs="宋体"/>
        </w:rPr>
      </w:pPr>
    </w:p>
    <w:p>
      <w:pPr>
        <w:pStyle w:val="12"/>
        <w:rPr>
          <w:rFonts w:hint="eastAsia"/>
        </w:rPr>
      </w:pPr>
      <w:r>
        <w:t>根据《中华人民共和国民法通则》和其他有关法律、法规</w:t>
      </w:r>
      <w:r>
        <w:rPr>
          <w:rFonts w:hint="eastAsia"/>
        </w:rPr>
        <w:t>，</w:t>
      </w:r>
      <w:r>
        <w:t>现就人民法院在审理联营合同纠纷案件中提出的一些问题</w:t>
      </w:r>
      <w:r>
        <w:rPr>
          <w:rFonts w:hint="eastAsia"/>
        </w:rPr>
        <w:t>，</w:t>
      </w:r>
      <w:r>
        <w:t>解答如下：</w:t>
      </w:r>
    </w:p>
    <w:p>
      <w:pPr>
        <w:pStyle w:val="9"/>
        <w:rPr>
          <w:rFonts w:hint="eastAsia"/>
        </w:rPr>
      </w:pPr>
      <w:r>
        <w:t>一、关于联营合同纠纷案件的受理问题</w:t>
      </w:r>
    </w:p>
    <w:p>
      <w:pPr>
        <w:pStyle w:val="12"/>
        <w:rPr>
          <w:rFonts w:hint="eastAsia"/>
        </w:rPr>
      </w:pPr>
      <w:r>
        <w:rPr>
          <w:rFonts w:hint="eastAsia"/>
          <w:lang w:eastAsia="zh-CN"/>
        </w:rPr>
        <w:t>（</w:t>
      </w:r>
      <w:r>
        <w:t>一</w:t>
      </w:r>
      <w:r>
        <w:rPr>
          <w:rFonts w:hint="eastAsia"/>
          <w:lang w:eastAsia="zh-CN"/>
        </w:rPr>
        <w:t>）</w:t>
      </w:r>
      <w:r>
        <w:t>联营各方因联营合同的履行、变更、解除所发生的经济纠纷</w:t>
      </w:r>
      <w:r>
        <w:rPr>
          <w:rFonts w:hint="eastAsia"/>
        </w:rPr>
        <w:t>，</w:t>
      </w:r>
      <w:r>
        <w:t>如联营投资、盈余分配、违约责任、债务承担、资产清退等纠纷向人民法院起诉的</w:t>
      </w:r>
      <w:r>
        <w:rPr>
          <w:rFonts w:hint="eastAsia"/>
        </w:rPr>
        <w:t>，</w:t>
      </w:r>
      <w:r>
        <w:t>凡符合民事诉讼法</w:t>
      </w:r>
      <w:r>
        <w:rPr>
          <w:rFonts w:hint="eastAsia"/>
          <w:lang w:eastAsia="zh-CN"/>
        </w:rPr>
        <w:t>（</w:t>
      </w:r>
      <w:r>
        <w:t>试行</w:t>
      </w:r>
      <w:r>
        <w:rPr>
          <w:rFonts w:hint="eastAsia"/>
          <w:lang w:eastAsia="zh-CN"/>
        </w:rPr>
        <w:t>）</w:t>
      </w:r>
      <w:r>
        <w:t>第八十一条规定的起诉条</w:t>
      </w:r>
      <w:r>
        <w:rPr>
          <w:rFonts w:hint="eastAsia"/>
        </w:rPr>
        <w:t>件的，人民法院应予受理。</w:t>
      </w:r>
    </w:p>
    <w:p>
      <w:pPr>
        <w:pStyle w:val="12"/>
        <w:rPr>
          <w:rFonts w:hint="eastAsia"/>
        </w:rPr>
      </w:pPr>
      <w:r>
        <w:rPr>
          <w:rFonts w:hint="eastAsia"/>
          <w:lang w:eastAsia="zh-CN"/>
        </w:rPr>
        <w:t>（</w:t>
      </w:r>
      <w:r>
        <w:rPr>
          <w:rFonts w:hint="eastAsia"/>
        </w:rPr>
        <w:t>二</w:t>
      </w:r>
      <w:r>
        <w:rPr>
          <w:rFonts w:hint="eastAsia"/>
          <w:lang w:eastAsia="zh-CN"/>
        </w:rPr>
        <w:t>）</w:t>
      </w:r>
      <w:r>
        <w:rPr>
          <w:rFonts w:hint="eastAsia"/>
        </w:rPr>
        <w:t>联营各方因联营体内部机构设置、人员组成等管理方面的问题发生纠纷向人民法院起诉的，人民法院不予受理。</w:t>
      </w:r>
    </w:p>
    <w:p>
      <w:pPr>
        <w:pStyle w:val="9"/>
        <w:rPr>
          <w:rFonts w:hint="eastAsia"/>
        </w:rPr>
      </w:pPr>
      <w:r>
        <w:t>二、关于联营合同纠纷案件的管辖问题</w:t>
      </w:r>
    </w:p>
    <w:p>
      <w:pPr>
        <w:pStyle w:val="12"/>
        <w:rPr>
          <w:rFonts w:hint="eastAsia"/>
        </w:rPr>
      </w:pPr>
      <w:r>
        <w:rPr>
          <w:rFonts w:hint="eastAsia"/>
          <w:lang w:eastAsia="zh-CN"/>
        </w:rPr>
        <w:t>（</w:t>
      </w:r>
      <w:r>
        <w:t>一</w:t>
      </w:r>
      <w:r>
        <w:rPr>
          <w:rFonts w:hint="eastAsia"/>
          <w:lang w:eastAsia="zh-CN"/>
        </w:rPr>
        <w:t>）</w:t>
      </w:r>
      <w:r>
        <w:t>联营合同纠纷案件的地域管辖</w:t>
      </w:r>
      <w:r>
        <w:rPr>
          <w:rFonts w:hint="eastAsia"/>
        </w:rPr>
        <w:t>，</w:t>
      </w:r>
      <w:r>
        <w:t>因不同的联营形式而有所区别：</w:t>
      </w:r>
    </w:p>
    <w:p>
      <w:pPr>
        <w:pStyle w:val="12"/>
        <w:rPr>
          <w:rFonts w:hint="eastAsia"/>
        </w:rPr>
      </w:pPr>
      <w:r>
        <w:rPr>
          <w:rFonts w:hint="eastAsia"/>
        </w:rPr>
        <w:t>1</w:t>
      </w:r>
      <w:r>
        <w:rPr>
          <w:rFonts w:hint="eastAsia"/>
          <w:lang w:eastAsia="zh-CN"/>
        </w:rPr>
        <w:t>.</w:t>
      </w:r>
      <w:r>
        <w:t>法人型联营合同纠纷案件</w:t>
      </w:r>
      <w:r>
        <w:rPr>
          <w:rFonts w:hint="eastAsia"/>
        </w:rPr>
        <w:t>，</w:t>
      </w:r>
      <w:r>
        <w:t>由法人型联营体的主要办事机构所在地人民法院管辖。</w:t>
      </w:r>
    </w:p>
    <w:p>
      <w:pPr>
        <w:pStyle w:val="12"/>
        <w:rPr>
          <w:rFonts w:hint="eastAsia"/>
        </w:rPr>
      </w:pPr>
      <w:r>
        <w:rPr>
          <w:rFonts w:hint="eastAsia"/>
        </w:rPr>
        <w:t>2</w:t>
      </w:r>
      <w:r>
        <w:rPr>
          <w:rFonts w:hint="eastAsia"/>
          <w:lang w:eastAsia="zh-CN"/>
        </w:rPr>
        <w:t>.</w:t>
      </w:r>
      <w:r>
        <w:t>合伙型联营合同纠纷案件</w:t>
      </w:r>
      <w:r>
        <w:rPr>
          <w:rFonts w:hint="eastAsia"/>
        </w:rPr>
        <w:t>，</w:t>
      </w:r>
      <w:r>
        <w:t>由合伙型联营体注册登记地人民法院管辖。</w:t>
      </w:r>
    </w:p>
    <w:p>
      <w:pPr>
        <w:pStyle w:val="12"/>
        <w:rPr>
          <w:rFonts w:hint="eastAsia"/>
        </w:rPr>
      </w:pPr>
      <w:r>
        <w:rPr>
          <w:rFonts w:hint="eastAsia"/>
        </w:rPr>
        <w:t>3</w:t>
      </w:r>
      <w:r>
        <w:rPr>
          <w:rFonts w:hint="eastAsia"/>
          <w:lang w:eastAsia="zh-CN"/>
        </w:rPr>
        <w:t>.</w:t>
      </w:r>
      <w:r>
        <w:t>协作型联营合同纠纷案件</w:t>
      </w:r>
      <w:r>
        <w:rPr>
          <w:rFonts w:hint="eastAsia"/>
        </w:rPr>
        <w:t>，</w:t>
      </w:r>
      <w:r>
        <w:t>由被告所在地人民法院管辖。</w:t>
      </w:r>
    </w:p>
    <w:p>
      <w:pPr>
        <w:pStyle w:val="12"/>
        <w:rPr>
          <w:rFonts w:hint="eastAsia"/>
        </w:rPr>
      </w:pPr>
      <w:r>
        <w:rPr>
          <w:rFonts w:hint="eastAsia"/>
          <w:lang w:eastAsia="zh-CN"/>
        </w:rPr>
        <w:t>（</w:t>
      </w:r>
      <w:r>
        <w:t>二</w:t>
      </w:r>
      <w:r>
        <w:rPr>
          <w:rFonts w:hint="eastAsia"/>
          <w:lang w:eastAsia="zh-CN"/>
        </w:rPr>
        <w:t>）</w:t>
      </w:r>
      <w:r>
        <w:t>由联营体主要办事机构所在地或联</w:t>
      </w:r>
      <w:r>
        <w:rPr>
          <w:rFonts w:hint="eastAsia"/>
        </w:rPr>
        <w:t>营体注册登记地人民法院管辖确有困难的，如法人型联营体已经办理了注销手续，合伙型联营体应经工商部门注册登记而未办理注册登记，或者联营期限届满已经解体的，可由被告所在地人民法院管辖。</w:t>
      </w:r>
    </w:p>
    <w:p>
      <w:pPr>
        <w:pStyle w:val="9"/>
        <w:rPr>
          <w:rFonts w:hint="eastAsia"/>
        </w:rPr>
      </w:pPr>
      <w:r>
        <w:t>三、关于联营合同的主体资格认定问题</w:t>
      </w:r>
    </w:p>
    <w:p>
      <w:pPr>
        <w:pStyle w:val="12"/>
        <w:rPr>
          <w:rFonts w:hint="eastAsia"/>
        </w:rPr>
      </w:pPr>
      <w:r>
        <w:rPr>
          <w:rFonts w:hint="eastAsia"/>
          <w:lang w:eastAsia="zh-CN"/>
        </w:rPr>
        <w:t>（</w:t>
      </w:r>
      <w:r>
        <w:t>一</w:t>
      </w:r>
      <w:r>
        <w:rPr>
          <w:rFonts w:hint="eastAsia"/>
          <w:lang w:eastAsia="zh-CN"/>
        </w:rPr>
        <w:t>）</w:t>
      </w:r>
      <w:r>
        <w:t>联营合同的主体应当是实行独立核算</w:t>
      </w:r>
      <w:r>
        <w:rPr>
          <w:rFonts w:hint="eastAsia"/>
        </w:rPr>
        <w:t>，</w:t>
      </w:r>
      <w:r>
        <w:t>能够独立承担民事责任的企业法人和事业法人。</w:t>
      </w:r>
    </w:p>
    <w:p>
      <w:pPr>
        <w:pStyle w:val="12"/>
        <w:rPr>
          <w:rFonts w:hint="eastAsia"/>
        </w:rPr>
      </w:pPr>
      <w:r>
        <w:t>个体工商户、农村承包经营户、个人合伙</w:t>
      </w:r>
      <w:r>
        <w:rPr>
          <w:rFonts w:hint="eastAsia"/>
        </w:rPr>
        <w:t>，</w:t>
      </w:r>
      <w:r>
        <w:t>以及不具备法人资格的私营企业和其他经济组织与企业法人或者事业法人联营的</w:t>
      </w:r>
      <w:r>
        <w:rPr>
          <w:rFonts w:hint="eastAsia"/>
        </w:rPr>
        <w:t>，</w:t>
      </w:r>
      <w:r>
        <w:t>也可以成为联营合同的主体。</w:t>
      </w:r>
    </w:p>
    <w:p>
      <w:pPr>
        <w:pStyle w:val="12"/>
        <w:rPr>
          <w:rFonts w:hint="eastAsia"/>
        </w:rPr>
      </w:pPr>
      <w:r>
        <w:rPr>
          <w:rFonts w:hint="eastAsia"/>
          <w:lang w:eastAsia="zh-CN"/>
        </w:rPr>
        <w:t>（</w:t>
      </w:r>
      <w:r>
        <w:t>二</w:t>
      </w:r>
      <w:r>
        <w:rPr>
          <w:rFonts w:hint="eastAsia"/>
          <w:lang w:eastAsia="zh-CN"/>
        </w:rPr>
        <w:t>）</w:t>
      </w:r>
      <w:r>
        <w:t>企业法人、事业法人的分支机</w:t>
      </w:r>
      <w:r>
        <w:rPr>
          <w:rFonts w:hint="eastAsia"/>
        </w:rPr>
        <w:t>构不具备法人条件的，未经法人授权，不得以自己的名义对外签订联营合同；擅自以自己名义对外签订联营合同且未经法人追认的，应当确认无效。</w:t>
      </w:r>
    </w:p>
    <w:p>
      <w:pPr>
        <w:pStyle w:val="12"/>
        <w:rPr>
          <w:rFonts w:hint="eastAsia"/>
        </w:rPr>
      </w:pPr>
      <w:r>
        <w:rPr>
          <w:rFonts w:hint="eastAsia"/>
        </w:rPr>
        <w:t>党政机关和隶属党政机关编制序列的事业单位、军事机关、工会、共青团、妇联、文联、科协和各种协会、学会及民主党派等，不能成为联营合同的主体。</w:t>
      </w:r>
    </w:p>
    <w:p>
      <w:pPr>
        <w:pStyle w:val="9"/>
        <w:rPr>
          <w:rFonts w:hint="eastAsia"/>
        </w:rPr>
      </w:pPr>
      <w:r>
        <w:t>四、关于联营合同中的保底条款问题</w:t>
      </w:r>
    </w:p>
    <w:p>
      <w:pPr>
        <w:pStyle w:val="12"/>
        <w:rPr>
          <w:rFonts w:hint="eastAsia"/>
        </w:rPr>
      </w:pPr>
      <w:r>
        <w:rPr>
          <w:rFonts w:hint="eastAsia"/>
          <w:lang w:eastAsia="zh-CN"/>
        </w:rPr>
        <w:t>（</w:t>
      </w:r>
      <w:r>
        <w:t>一</w:t>
      </w:r>
      <w:r>
        <w:rPr>
          <w:rFonts w:hint="eastAsia"/>
          <w:lang w:eastAsia="zh-CN"/>
        </w:rPr>
        <w:t>）</w:t>
      </w:r>
      <w:r>
        <w:t>联营合同中的保底条款</w:t>
      </w:r>
      <w:r>
        <w:rPr>
          <w:rFonts w:hint="eastAsia"/>
        </w:rPr>
        <w:t>，</w:t>
      </w:r>
      <w:r>
        <w:t>通常是指联营一方虽向联营体投资</w:t>
      </w:r>
      <w:r>
        <w:rPr>
          <w:rFonts w:hint="eastAsia"/>
        </w:rPr>
        <w:t>，</w:t>
      </w:r>
      <w:r>
        <w:t>并参与共同经营</w:t>
      </w:r>
      <w:r>
        <w:rPr>
          <w:rFonts w:hint="eastAsia"/>
        </w:rPr>
        <w:t>，</w:t>
      </w:r>
      <w:r>
        <w:t>分享联营的盈利</w:t>
      </w:r>
      <w:r>
        <w:rPr>
          <w:rFonts w:hint="eastAsia"/>
        </w:rPr>
        <w:t>，</w:t>
      </w:r>
      <w:r>
        <w:t>但不承担联营的亏损责任</w:t>
      </w:r>
      <w:r>
        <w:rPr>
          <w:rFonts w:hint="eastAsia"/>
        </w:rPr>
        <w:t>，</w:t>
      </w:r>
      <w:r>
        <w:t>在联营体亏损时</w:t>
      </w:r>
      <w:r>
        <w:rPr>
          <w:rFonts w:hint="eastAsia"/>
        </w:rPr>
        <w:t>，</w:t>
      </w:r>
      <w:r>
        <w:t>仍要收回其出资和收取固定利润的条款</w:t>
      </w:r>
      <w:r>
        <w:rPr>
          <w:rFonts w:hint="eastAsia"/>
        </w:rPr>
        <w:t>。保底条款违背了联营活动中应当遵循的共负盈亏，共担风险的原则，损害了其他联营方和联营体的债权人的合法权益，因此，应当确认无效。联营企业发生亏损的，联营一方依保底条款收取的固定利润，应当如数退出，用于补偿联营的亏损，如无亏损，或补偿后仍有剩余的，剩余部分可作为联营的盈余，由双方重新商定合理分配或按联营各方的投资比例重新分配。</w:t>
      </w:r>
    </w:p>
    <w:p>
      <w:pPr>
        <w:pStyle w:val="12"/>
        <w:rPr>
          <w:rFonts w:hint="eastAsia"/>
        </w:rPr>
      </w:pPr>
      <w:r>
        <w:rPr>
          <w:rFonts w:hint="eastAsia"/>
          <w:lang w:eastAsia="zh-CN"/>
        </w:rPr>
        <w:t>（</w:t>
      </w:r>
      <w:r>
        <w:rPr>
          <w:rFonts w:hint="eastAsia"/>
        </w:rPr>
        <w:t>二</w:t>
      </w:r>
      <w:r>
        <w:rPr>
          <w:rFonts w:hint="eastAsia"/>
          <w:lang w:eastAsia="zh-CN"/>
        </w:rPr>
        <w:t>）</w:t>
      </w:r>
      <w:r>
        <w:rPr>
          <w:rFonts w:hint="eastAsia"/>
        </w:rPr>
        <w:t>企业法人、事业法人作为联营一方向联营体投资，但不参加共同经营，也不承担联营的风险责任，不论盈亏均按期收回本息，或者按期收取固定利润的，是明为联营，实为借贷，违反了有关金融法规，应当确认合同无效。除本金可以返还外，对出资方已经取得或者约定取得的利息应予收缴，对另一方则应处以相当于银行利息的罚款。</w:t>
      </w:r>
    </w:p>
    <w:p>
      <w:pPr>
        <w:pStyle w:val="12"/>
        <w:rPr>
          <w:rFonts w:hint="eastAsia"/>
        </w:rPr>
      </w:pPr>
      <w:r>
        <w:rPr>
          <w:rFonts w:hint="eastAsia"/>
          <w:lang w:eastAsia="zh-CN"/>
        </w:rPr>
        <w:t>（</w:t>
      </w:r>
      <w:r>
        <w:rPr>
          <w:rFonts w:hint="eastAsia"/>
        </w:rPr>
        <w:t>三</w:t>
      </w:r>
      <w:r>
        <w:rPr>
          <w:rFonts w:hint="eastAsia"/>
          <w:lang w:eastAsia="zh-CN"/>
        </w:rPr>
        <w:t>）</w:t>
      </w:r>
      <w:r>
        <w:rPr>
          <w:rFonts w:hint="eastAsia"/>
        </w:rPr>
        <w:t>金融信托投资机构作为联营一方依法向联营体投资的，可以按照合同约定分享固定利润，但亦应承担联营的亏损责任。</w:t>
      </w:r>
    </w:p>
    <w:p>
      <w:pPr>
        <w:pStyle w:val="9"/>
        <w:rPr>
          <w:rFonts w:hint="eastAsia"/>
        </w:rPr>
      </w:pPr>
      <w:r>
        <w:t>五、关于在联营期间退出联营的处理问题</w:t>
      </w:r>
    </w:p>
    <w:p>
      <w:pPr>
        <w:pStyle w:val="12"/>
        <w:rPr>
          <w:rFonts w:hint="eastAsia"/>
        </w:rPr>
      </w:pPr>
      <w:r>
        <w:rPr>
          <w:rFonts w:hint="eastAsia"/>
          <w:lang w:eastAsia="zh-CN"/>
        </w:rPr>
        <w:t>（</w:t>
      </w:r>
      <w:r>
        <w:t>一</w:t>
      </w:r>
      <w:r>
        <w:rPr>
          <w:rFonts w:hint="eastAsia"/>
          <w:lang w:eastAsia="zh-CN"/>
        </w:rPr>
        <w:t>）</w:t>
      </w:r>
      <w:r>
        <w:t>组成法人型联营体或者合伙型联营体的一方或者数方在联营期间中途退出联营的</w:t>
      </w:r>
      <w:r>
        <w:rPr>
          <w:rFonts w:hint="eastAsia"/>
        </w:rPr>
        <w:t>，</w:t>
      </w:r>
      <w:r>
        <w:t>如果联营体并不因此解散</w:t>
      </w:r>
      <w:r>
        <w:rPr>
          <w:rFonts w:hint="eastAsia"/>
        </w:rPr>
        <w:t>，</w:t>
      </w:r>
      <w:r>
        <w:t>应当清退退出方作为出资投入的财产。原物存在的</w:t>
      </w:r>
      <w:r>
        <w:rPr>
          <w:rFonts w:hint="eastAsia"/>
        </w:rPr>
        <w:t>，</w:t>
      </w:r>
      <w:r>
        <w:t>返还原物；原物已不存在或者返还确有困难的</w:t>
      </w:r>
      <w:r>
        <w:rPr>
          <w:rFonts w:hint="eastAsia"/>
        </w:rPr>
        <w:t>，</w:t>
      </w:r>
      <w:r>
        <w:t>折价偿还。退</w:t>
      </w:r>
      <w:r>
        <w:rPr>
          <w:rFonts w:hint="eastAsia"/>
        </w:rPr>
        <w:t>出方对于退出前联营所得的盈利和发生的债务，应当按照联营合同的约定或者出资比例分享和分担。合伙型联营体的退出方还应对退出前联营的全部债务承担连带清偿责任。如果联营体因联营一方或者数方中途退出联营而无法继续存在的，可以解除联营合同，并对联营的财产和债务作出处理。</w:t>
      </w:r>
    </w:p>
    <w:p>
      <w:pPr>
        <w:pStyle w:val="12"/>
        <w:rPr>
          <w:rFonts w:hint="eastAsia"/>
        </w:rPr>
      </w:pPr>
      <w:r>
        <w:rPr>
          <w:rFonts w:hint="eastAsia"/>
          <w:lang w:eastAsia="zh-CN"/>
        </w:rPr>
        <w:t>（</w:t>
      </w:r>
      <w:r>
        <w:rPr>
          <w:rFonts w:hint="eastAsia"/>
        </w:rPr>
        <w:t>二</w:t>
      </w:r>
      <w:r>
        <w:rPr>
          <w:rFonts w:hint="eastAsia"/>
          <w:lang w:eastAsia="zh-CN"/>
        </w:rPr>
        <w:t>）</w:t>
      </w:r>
      <w:r>
        <w:rPr>
          <w:rFonts w:hint="eastAsia"/>
        </w:rPr>
        <w:t>不符合法律规定或合同约定的条件而中途退出联营的，退出方应当赔偿由此给联营体造成的实际经济损失。但如联营其他方对此也有过错的，则应按联营各方的过错大小，各自承担相应的经济责任。</w:t>
      </w:r>
    </w:p>
    <w:p>
      <w:pPr>
        <w:pStyle w:val="9"/>
        <w:rPr>
          <w:rFonts w:hint="eastAsia"/>
        </w:rPr>
      </w:pPr>
      <w:r>
        <w:t>六、关于联营合同的违约金、赔偿金的计</w:t>
      </w:r>
      <w:r>
        <w:rPr>
          <w:rFonts w:hint="eastAsia"/>
        </w:rPr>
        <w:t>算问题</w:t>
      </w:r>
    </w:p>
    <w:p>
      <w:pPr>
        <w:pStyle w:val="12"/>
        <w:rPr>
          <w:rFonts w:hint="eastAsia"/>
        </w:rPr>
      </w:pPr>
      <w:r>
        <w:t>根据民法通则第一百一十二条第二款规定</w:t>
      </w:r>
      <w:r>
        <w:rPr>
          <w:rFonts w:hint="eastAsia"/>
        </w:rPr>
        <w:t>，</w:t>
      </w:r>
      <w:r>
        <w:t>联营合同订明违约金数额或比例的</w:t>
      </w:r>
      <w:r>
        <w:rPr>
          <w:rFonts w:hint="eastAsia"/>
        </w:rPr>
        <w:t>，</w:t>
      </w:r>
      <w:r>
        <w:t>按照合同的约定处理。约定的违约金数额或比例过高的</w:t>
      </w:r>
      <w:r>
        <w:rPr>
          <w:rFonts w:hint="eastAsia"/>
        </w:rPr>
        <w:t>，</w:t>
      </w:r>
      <w:r>
        <w:t>人民法院可根据实际经济损失酌减；约定的违约金不足补偿实际经济损失的</w:t>
      </w:r>
      <w:r>
        <w:rPr>
          <w:rFonts w:hint="eastAsia"/>
        </w:rPr>
        <w:t>，</w:t>
      </w:r>
      <w:r>
        <w:t>可由赔偿金补足。联营合同订明赔偿金计算方法的</w:t>
      </w:r>
      <w:r>
        <w:rPr>
          <w:rFonts w:hint="eastAsia"/>
        </w:rPr>
        <w:t>，</w:t>
      </w:r>
      <w:r>
        <w:t>按照约定的计算方法及实际情况计算过错方应支付的赔偿金。联营合同既未订明违约金数额或比例</w:t>
      </w:r>
      <w:r>
        <w:rPr>
          <w:rFonts w:hint="eastAsia"/>
        </w:rPr>
        <w:t>，</w:t>
      </w:r>
      <w:r>
        <w:t>又未订明赔偿金计算方法的</w:t>
      </w:r>
      <w:r>
        <w:rPr>
          <w:rFonts w:hint="eastAsia"/>
        </w:rPr>
        <w:t>，</w:t>
      </w:r>
      <w:r>
        <w:t>应由过错方赔偿实际经济损失。</w:t>
      </w:r>
    </w:p>
    <w:p>
      <w:pPr>
        <w:pStyle w:val="9"/>
        <w:rPr>
          <w:rFonts w:hint="eastAsia"/>
        </w:rPr>
      </w:pPr>
      <w:r>
        <w:t>七、关于联营合同解除后的财产处理问题</w:t>
      </w:r>
    </w:p>
    <w:p>
      <w:pPr>
        <w:pStyle w:val="12"/>
        <w:rPr>
          <w:rFonts w:hint="eastAsia"/>
        </w:rPr>
      </w:pPr>
      <w:r>
        <w:rPr>
          <w:rFonts w:hint="eastAsia"/>
          <w:lang w:eastAsia="zh-CN"/>
        </w:rPr>
        <w:t>（</w:t>
      </w:r>
      <w:r>
        <w:t>一</w:t>
      </w:r>
      <w:r>
        <w:rPr>
          <w:rFonts w:hint="eastAsia"/>
          <w:lang w:eastAsia="zh-CN"/>
        </w:rPr>
        <w:t>）</w:t>
      </w:r>
      <w:r>
        <w:t>联营体为企业法人的</w:t>
      </w:r>
      <w:r>
        <w:rPr>
          <w:rFonts w:hint="eastAsia"/>
        </w:rPr>
        <w:t>，</w:t>
      </w:r>
      <w:r>
        <w:t>联营体因联营</w:t>
      </w:r>
      <w:r>
        <w:rPr>
          <w:rFonts w:hint="eastAsia"/>
        </w:rPr>
        <w:t>合同的解除而终止。联营的财产经过清算清偿债务有剩余的，按照约定或联营各方的出资比例进行分配。</w:t>
      </w:r>
    </w:p>
    <w:p>
      <w:pPr>
        <w:pStyle w:val="12"/>
        <w:rPr>
          <w:rFonts w:hint="eastAsia"/>
        </w:rPr>
      </w:pPr>
      <w:r>
        <w:rPr>
          <w:rFonts w:hint="eastAsia"/>
        </w:rPr>
        <w:t>联营体为合伙经营组织的，联营合同解除后，联营的财产经清偿债务有剩余的，按照联营合同约定的盈余分配比例，清退投资，分配利润。联营合同未约定，联营各方又协商不成的，按照出资比例进行分配。</w:t>
      </w:r>
    </w:p>
    <w:p>
      <w:pPr>
        <w:pStyle w:val="12"/>
        <w:rPr>
          <w:rFonts w:hint="eastAsia"/>
        </w:rPr>
      </w:pPr>
      <w:r>
        <w:rPr>
          <w:rFonts w:hint="eastAsia"/>
          <w:lang w:eastAsia="zh-CN"/>
        </w:rPr>
        <w:t>（</w:t>
      </w:r>
      <w:r>
        <w:rPr>
          <w:rFonts w:hint="eastAsia"/>
        </w:rPr>
        <w:t>二</w:t>
      </w:r>
      <w:r>
        <w:rPr>
          <w:rFonts w:hint="eastAsia"/>
          <w:lang w:eastAsia="zh-CN"/>
        </w:rPr>
        <w:t>）</w:t>
      </w:r>
      <w:r>
        <w:rPr>
          <w:rFonts w:hint="eastAsia"/>
        </w:rPr>
        <w:t>在清退联营投资时，联营各方原投入的设备、房屋等固定资产，原物存在的，返还原物；原物已不存在或者返还原物确有困难的，作价还款。</w:t>
      </w:r>
    </w:p>
    <w:p>
      <w:pPr>
        <w:pStyle w:val="12"/>
        <w:rPr>
          <w:rFonts w:hint="eastAsia"/>
        </w:rPr>
      </w:pPr>
      <w:r>
        <w:rPr>
          <w:rFonts w:hint="eastAsia"/>
          <w:lang w:eastAsia="zh-CN"/>
        </w:rPr>
        <w:t>（</w:t>
      </w:r>
      <w:r>
        <w:rPr>
          <w:rFonts w:hint="eastAsia"/>
        </w:rPr>
        <w:t>三</w:t>
      </w:r>
      <w:r>
        <w:rPr>
          <w:rFonts w:hint="eastAsia"/>
          <w:lang w:eastAsia="zh-CN"/>
        </w:rPr>
        <w:t>）</w:t>
      </w:r>
      <w:r>
        <w:rPr>
          <w:rFonts w:hint="eastAsia"/>
        </w:rPr>
        <w:t>联营体在联营期间购置的房屋、设备等固定资产不能分割的，可以作价变卖后进行分配。变卖时，联营各方有优先购买权。</w:t>
      </w:r>
    </w:p>
    <w:p>
      <w:pPr>
        <w:pStyle w:val="12"/>
        <w:rPr>
          <w:rFonts w:hint="eastAsia"/>
        </w:rPr>
      </w:pPr>
      <w:r>
        <w:rPr>
          <w:rFonts w:hint="eastAsia"/>
          <w:lang w:eastAsia="zh-CN"/>
        </w:rPr>
        <w:t>（</w:t>
      </w:r>
      <w:r>
        <w:rPr>
          <w:rFonts w:hint="eastAsia"/>
        </w:rPr>
        <w:t>四</w:t>
      </w:r>
      <w:r>
        <w:rPr>
          <w:rFonts w:hint="eastAsia"/>
          <w:lang w:eastAsia="zh-CN"/>
        </w:rPr>
        <w:t>）</w:t>
      </w:r>
      <w:r>
        <w:rPr>
          <w:rFonts w:hint="eastAsia"/>
        </w:rPr>
        <w:t>联营体在联营期间取得的商标权、专利权，解除联营合同后的归属及归属后的经济补偿，应当根据《中华人民共和国商标法》、《中华人民共和国专利法》的有关规定处理。商标权应当归联营一方享有。专利权可以归联营一方享有，也可以归联营各方共同享有。联营一方单独享有商标权、专利权的，应当给予其他联营方适当的经济补偿。</w:t>
      </w:r>
    </w:p>
    <w:p>
      <w:pPr>
        <w:pStyle w:val="9"/>
        <w:rPr>
          <w:rFonts w:hint="eastAsia"/>
        </w:rPr>
      </w:pPr>
      <w:r>
        <w:t>八、关于无效联营收益的处理问题</w:t>
      </w:r>
    </w:p>
    <w:p>
      <w:pPr>
        <w:pStyle w:val="12"/>
        <w:rPr>
          <w:rFonts w:hint="eastAsia"/>
        </w:rPr>
      </w:pPr>
      <w:r>
        <w:t>联营合同被确认无效后</w:t>
      </w:r>
      <w:r>
        <w:rPr>
          <w:rFonts w:hint="eastAsia"/>
        </w:rPr>
        <w:t>，</w:t>
      </w:r>
      <w:r>
        <w:t>联营体在联营合同履行期间的收益</w:t>
      </w:r>
      <w:r>
        <w:rPr>
          <w:rFonts w:hint="eastAsia"/>
        </w:rPr>
        <w:t>，</w:t>
      </w:r>
      <w:r>
        <w:t>应先用于清偿联营的债务及补偿无过错方因合同无效所遭受的经济损失</w:t>
      </w:r>
      <w:r>
        <w:rPr>
          <w:rFonts w:hint="eastAsia"/>
        </w:rPr>
        <w:t>。</w:t>
      </w:r>
    </w:p>
    <w:p>
      <w:pPr>
        <w:pStyle w:val="12"/>
        <w:rPr>
          <w:rFonts w:hint="eastAsia"/>
        </w:rPr>
      </w:pPr>
      <w:r>
        <w:rPr>
          <w:rFonts w:hint="eastAsia"/>
        </w:rPr>
        <w:t>当事人恶意串通，损害国家利益、集体或第三人的合法利益，或者因合同内容违反国家利益或社会公共利益而导致联营合同无效的，根据民法通则第六十一条第二款和第一百三十四条第三款规定，对联营体在联营合同履行期间的收益，应当作为非法所得予以收缴，收归国家、集体所有或者返还第三人。对联营各方还可并处罚款；构成犯罪的，移送公安、检察机关查处。</w:t>
      </w:r>
    </w:p>
    <w:p>
      <w:pPr>
        <w:pStyle w:val="9"/>
        <w:rPr>
          <w:rFonts w:hint="eastAsia"/>
        </w:rPr>
      </w:pPr>
      <w:r>
        <w:t>九、关于联营各方对联营债务的承担问题</w:t>
      </w:r>
    </w:p>
    <w:p>
      <w:pPr>
        <w:pStyle w:val="12"/>
        <w:rPr>
          <w:rFonts w:hint="eastAsia"/>
        </w:rPr>
      </w:pPr>
      <w:r>
        <w:rPr>
          <w:rFonts w:hint="eastAsia"/>
          <w:lang w:eastAsia="zh-CN"/>
        </w:rPr>
        <w:t>（</w:t>
      </w:r>
      <w:r>
        <w:t>一</w:t>
      </w:r>
      <w:r>
        <w:rPr>
          <w:rFonts w:hint="eastAsia"/>
          <w:lang w:eastAsia="zh-CN"/>
        </w:rPr>
        <w:t>）</w:t>
      </w:r>
      <w:r>
        <w:t>联营各方对联营债务的责任应依联营的不同形式区别对待：</w:t>
      </w:r>
    </w:p>
    <w:p>
      <w:pPr>
        <w:pStyle w:val="12"/>
        <w:rPr>
          <w:rFonts w:hint="eastAsia"/>
        </w:rPr>
      </w:pPr>
      <w:r>
        <w:rPr>
          <w:rFonts w:hint="eastAsia"/>
        </w:rPr>
        <w:t>1</w:t>
      </w:r>
      <w:r>
        <w:rPr>
          <w:rFonts w:hint="eastAsia"/>
          <w:lang w:eastAsia="zh-CN"/>
        </w:rPr>
        <w:t>.</w:t>
      </w:r>
      <w:r>
        <w:t>联营体是企业法人的</w:t>
      </w:r>
      <w:r>
        <w:rPr>
          <w:rFonts w:hint="eastAsia"/>
        </w:rPr>
        <w:t>，</w:t>
      </w:r>
      <w:r>
        <w:t>以联营体的全部财</w:t>
      </w:r>
      <w:r>
        <w:rPr>
          <w:rFonts w:hint="eastAsia"/>
        </w:rPr>
        <w:t>产对外承担民事责任。联营各方对联营体的责任则以各自认缴的出资额为限。对抽逃认缴资金以逃避债务的，人民法院除应责令抽逃者如数缴回外，还可对责任人员处以罚款。</w:t>
      </w:r>
    </w:p>
    <w:p>
      <w:pPr>
        <w:pStyle w:val="12"/>
        <w:rPr>
          <w:rFonts w:hint="eastAsia"/>
        </w:rPr>
      </w:pPr>
      <w:r>
        <w:t>2</w:t>
      </w:r>
      <w:r>
        <w:rPr>
          <w:rFonts w:hint="eastAsia"/>
          <w:lang w:eastAsia="zh-CN"/>
        </w:rPr>
        <w:t>.</w:t>
      </w:r>
      <w:r>
        <w:t>联营体是合伙经营组织的</w:t>
      </w:r>
      <w:r>
        <w:rPr>
          <w:rFonts w:hint="eastAsia"/>
        </w:rPr>
        <w:t>，</w:t>
      </w:r>
      <w:r>
        <w:t>可先以联营体的财产清偿联营债务。联营体的财产不足以抵债的</w:t>
      </w:r>
      <w:r>
        <w:rPr>
          <w:rFonts w:hint="eastAsia"/>
        </w:rPr>
        <w:t>，</w:t>
      </w:r>
      <w:r>
        <w:t>由联营各方按照联营合同约定的债务承担比例</w:t>
      </w:r>
      <w:r>
        <w:rPr>
          <w:rFonts w:hint="eastAsia"/>
        </w:rPr>
        <w:t>，</w:t>
      </w:r>
      <w:r>
        <w:t>以各自所有或经营管理的财产承担民事责任；合同未约定债务承担比例</w:t>
      </w:r>
      <w:r>
        <w:rPr>
          <w:rFonts w:hint="eastAsia"/>
        </w:rPr>
        <w:t>，</w:t>
      </w:r>
      <w:r>
        <w:t>联营各方又协商不成的</w:t>
      </w:r>
      <w:r>
        <w:rPr>
          <w:rFonts w:hint="eastAsia"/>
        </w:rPr>
        <w:t>，</w:t>
      </w:r>
      <w:r>
        <w:t>按照出资比例或盈余分配比例确认联营各方应承担的责任。</w:t>
      </w:r>
    </w:p>
    <w:p>
      <w:pPr>
        <w:pStyle w:val="12"/>
        <w:rPr>
          <w:rFonts w:hint="eastAsia"/>
        </w:rPr>
      </w:pPr>
      <w:r>
        <w:t>合伙型联营各方应当依照有关法律、法规的规定或者合同的约定对联营债务负连带清偿责任。</w:t>
      </w:r>
    </w:p>
    <w:p>
      <w:pPr>
        <w:pStyle w:val="12"/>
        <w:rPr>
          <w:rFonts w:hint="eastAsia"/>
        </w:rPr>
      </w:pPr>
      <w:r>
        <w:rPr>
          <w:rFonts w:hint="eastAsia"/>
        </w:rPr>
        <w:t>3</w:t>
      </w:r>
      <w:r>
        <w:rPr>
          <w:rFonts w:hint="eastAsia"/>
          <w:lang w:eastAsia="zh-CN"/>
        </w:rPr>
        <w:t>.</w:t>
      </w:r>
      <w:r>
        <w:t>联营是协作型的</w:t>
      </w:r>
      <w:r>
        <w:rPr>
          <w:rFonts w:hint="eastAsia"/>
        </w:rPr>
        <w:t>，</w:t>
      </w:r>
      <w:r>
        <w:t>联营各方按照合同的约定</w:t>
      </w:r>
      <w:r>
        <w:rPr>
          <w:rFonts w:hint="eastAsia"/>
        </w:rPr>
        <w:t>，</w:t>
      </w:r>
      <w:r>
        <w:t>分别以各自所有或经营管理的财产承担民事责任。</w:t>
      </w:r>
    </w:p>
    <w:p>
      <w:pPr>
        <w:pStyle w:val="12"/>
        <w:rPr>
          <w:rFonts w:hint="eastAsia"/>
        </w:rPr>
      </w:pPr>
      <w:r>
        <w:rPr>
          <w:rFonts w:hint="eastAsia"/>
          <w:lang w:eastAsia="zh-CN"/>
        </w:rPr>
        <w:t>（</w:t>
      </w:r>
      <w:r>
        <w:t>二</w:t>
      </w:r>
      <w:r>
        <w:rPr>
          <w:rFonts w:hint="eastAsia"/>
          <w:lang w:eastAsia="zh-CN"/>
        </w:rPr>
        <w:t>）</w:t>
      </w:r>
      <w:r>
        <w:t>农业集体经济组织以提供自己所有的土地使用权参加合伙型联营的</w:t>
      </w:r>
      <w:r>
        <w:rPr>
          <w:rFonts w:hint="eastAsia"/>
        </w:rPr>
        <w:t>，</w:t>
      </w:r>
      <w:r>
        <w:t>应当按照联营合同的约定承担联营债务</w:t>
      </w:r>
      <w:r>
        <w:rPr>
          <w:rFonts w:hint="eastAsia"/>
        </w:rPr>
        <w:t>，</w:t>
      </w:r>
      <w:r>
        <w:t>如合同未约定债务承担比例的</w:t>
      </w:r>
      <w:r>
        <w:rPr>
          <w:rFonts w:hint="eastAsia"/>
        </w:rPr>
        <w:t>，</w:t>
      </w:r>
      <w:r>
        <w:t>可参照出资比例或者盈余分配比例承担。</w:t>
      </w:r>
    </w:p>
    <w:p>
      <w:pPr>
        <w:pStyle w:val="12"/>
        <w:rPr>
          <w:rFonts w:hint="eastAsia"/>
        </w:rPr>
      </w:pPr>
      <w:r>
        <w:rPr>
          <w:rFonts w:hint="eastAsia"/>
          <w:lang w:eastAsia="zh-CN"/>
        </w:rPr>
        <w:t>（</w:t>
      </w:r>
      <w:r>
        <w:t>三</w:t>
      </w:r>
      <w:r>
        <w:rPr>
          <w:rFonts w:hint="eastAsia"/>
          <w:lang w:eastAsia="zh-CN"/>
        </w:rPr>
        <w:t>）</w:t>
      </w:r>
      <w:r>
        <w:t>以提供技术使用权作为合伙型联营投资的联营一方</w:t>
      </w:r>
      <w:r>
        <w:rPr>
          <w:rFonts w:hint="eastAsia"/>
        </w:rPr>
        <w:t>，</w:t>
      </w:r>
      <w:r>
        <w:t>应当按照联营合同的约定承担联营债务</w:t>
      </w:r>
      <w:r>
        <w:rPr>
          <w:rFonts w:hint="eastAsia"/>
        </w:rPr>
        <w:t>，</w:t>
      </w:r>
      <w:r>
        <w:t>如其自己所有的或者经营管理的财产不足清偿联营债务的</w:t>
      </w:r>
      <w:r>
        <w:rPr>
          <w:rFonts w:hint="eastAsia"/>
        </w:rPr>
        <w:t>，</w:t>
      </w:r>
      <w:r>
        <w:t>可以一定期限的技术使用权折价抵偿债务。</w:t>
      </w:r>
    </w:p>
    <w:sectPr>
      <w:footerReference r:id="rId3" w:type="default"/>
      <w:footerReference r:id="rId4" w:type="even"/>
      <w:pgSz w:w="11906" w:h="16838"/>
      <w:pgMar w:top="2098" w:right="1474" w:bottom="1984" w:left="1587" w:header="851" w:footer="1587" w:gutter="0"/>
      <w:pgNumType w:fmt="decimal" w:start="1"/>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楷体">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w:panose1 w:val="020B0604020202020204"/>
    <w:charset w:val="00"/>
    <w:family w:val="swiss"/>
    <w:pitch w:val="default"/>
    <w:sig w:usb0="E0002AFF" w:usb1="C0007843" w:usb2="00000009" w:usb3="00000000" w:csb0="400001FF" w:csb1="FFFF0000"/>
  </w:font>
  <w:font w:name="Courier New">
    <w:panose1 w:val="02070309020205020404"/>
    <w:charset w:val="00"/>
    <w:family w:val="modern"/>
    <w:pitch w:val="default"/>
    <w:sig w:usb0="E0002AFF" w:usb1="C0007843" w:usb2="00000009" w:usb3="00000000" w:csb0="400001FF" w:csb1="FFFF0000"/>
  </w:font>
  <w:font w:name="宋体-方正超大字符集">
    <w:altName w:val="宋体"/>
    <w:panose1 w:val="03000509000000000000"/>
    <w:charset w:val="86"/>
    <w:family w:val="script"/>
    <w:pitch w:val="default"/>
    <w:sig w:usb0="00000000" w:usb1="00000000" w:usb2="00000010" w:usb3="00000000" w:csb0="00040000" w:csb1="00000000"/>
  </w:font>
  <w:font w:name="MS Mincho">
    <w:panose1 w:val="02020609040205080304"/>
    <w:charset w:val="80"/>
    <w:family w:val="modern"/>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0" w:leftChars="0" w:right="210" w:rightChars="1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rPr>
        <w:rFonts w:hint="eastAsia" w:ascii="宋体" w:hAnsi="宋体" w:eastAsia="宋体" w:cs="宋体"/>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XtCZFRQCAAATBAAADgAAAAAAAAAB&#10;ACAAAAAfAQAAZHJzL2Uyb0RvYy54bWxQSwUGAAAAAAYABgBZAQAApQUAAAAA&#10;">
              <v:fill on="f" focussize="0,0"/>
              <v:stroke on="f" weight="0.5pt"/>
              <v:imagedata o:title=""/>
              <o:lock v:ext="edit" aspectratio="f"/>
              <v:textbox inset="0mm,0mm,0mm,0mm" style="mso-fit-shape-to-text:t;">
                <w:txbxContent>
                  <w:p>
                    <w:pPr>
                      <w:pStyle w:val="2"/>
                      <w:keepNext w:val="0"/>
                      <w:keepLines w:val="0"/>
                      <w:pageBreakBefore w:val="0"/>
                      <w:widowControl w:val="0"/>
                      <w:kinsoku/>
                      <w:wordWrap/>
                      <w:overflowPunct/>
                      <w:topLinePunct w:val="0"/>
                      <w:autoSpaceDE/>
                      <w:autoSpaceDN/>
                      <w:bidi w:val="0"/>
                      <w:adjustRightInd/>
                      <w:snapToGrid w:val="0"/>
                      <w:spacing w:line="240" w:lineRule="auto"/>
                      <w:ind w:left="210" w:leftChars="100" w:right="0" w:rightChars="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attachedTemplate r:id="rId1"/>
  <w:documentProtection w:enforcement="0"/>
  <w:defaultTabStop w:val="420"/>
  <w:hyphenationZone w:val="360"/>
  <w:evenAndOddHeaders w:val="1"/>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FB7345C"/>
    <w:rsid w:val="00323D76"/>
    <w:rsid w:val="02380A4E"/>
    <w:rsid w:val="02C54CFB"/>
    <w:rsid w:val="042F174E"/>
    <w:rsid w:val="044D187A"/>
    <w:rsid w:val="0751543E"/>
    <w:rsid w:val="0BE369DE"/>
    <w:rsid w:val="0F9D48A9"/>
    <w:rsid w:val="0FC66F39"/>
    <w:rsid w:val="135B4974"/>
    <w:rsid w:val="18332837"/>
    <w:rsid w:val="19EF53F7"/>
    <w:rsid w:val="1C547AC8"/>
    <w:rsid w:val="20194FCD"/>
    <w:rsid w:val="211007F7"/>
    <w:rsid w:val="224D5C1E"/>
    <w:rsid w:val="28B53323"/>
    <w:rsid w:val="2A483D38"/>
    <w:rsid w:val="2A844039"/>
    <w:rsid w:val="2CFE6EE4"/>
    <w:rsid w:val="2D725F92"/>
    <w:rsid w:val="302E782D"/>
    <w:rsid w:val="325C564C"/>
    <w:rsid w:val="36AE6775"/>
    <w:rsid w:val="38787F7C"/>
    <w:rsid w:val="39191BFA"/>
    <w:rsid w:val="3D717517"/>
    <w:rsid w:val="3FBC61B7"/>
    <w:rsid w:val="4AEF215E"/>
    <w:rsid w:val="4DA15956"/>
    <w:rsid w:val="4E7D2A86"/>
    <w:rsid w:val="4FB7345C"/>
    <w:rsid w:val="501B3EB2"/>
    <w:rsid w:val="5027117E"/>
    <w:rsid w:val="56C00D65"/>
    <w:rsid w:val="65586BE5"/>
    <w:rsid w:val="6D800228"/>
    <w:rsid w:val="6DAD6BF0"/>
    <w:rsid w:val="6E1B4105"/>
    <w:rsid w:val="6EB66F23"/>
    <w:rsid w:val="75FA67F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目录"/>
    <w:basedOn w:val="1"/>
    <w:uiPriority w:val="0"/>
    <w:pPr>
      <w:spacing w:line="560" w:lineRule="exact"/>
      <w:jc w:val="center"/>
    </w:pPr>
    <w:rPr>
      <w:rFonts w:ascii="楷体_GB2312" w:hAnsi="楷体_GB2312" w:eastAsia="楷体_GB2312" w:cs="楷体_GB2312"/>
      <w:sz w:val="32"/>
      <w:szCs w:val="32"/>
    </w:rPr>
  </w:style>
  <w:style w:type="paragraph" w:customStyle="1" w:styleId="7">
    <w:name w:val="标题名"/>
    <w:basedOn w:val="1"/>
    <w:uiPriority w:val="0"/>
    <w:pPr>
      <w:spacing w:line="560" w:lineRule="exact"/>
      <w:jc w:val="center"/>
    </w:pPr>
    <w:rPr>
      <w:rFonts w:hint="eastAsia" w:ascii="宋体" w:hAnsi="宋体" w:cs="宋体"/>
      <w:sz w:val="44"/>
      <w:szCs w:val="44"/>
    </w:rPr>
  </w:style>
  <w:style w:type="paragraph" w:customStyle="1" w:styleId="8">
    <w:name w:val="表字居中"/>
    <w:basedOn w:val="1"/>
    <w:qFormat/>
    <w:uiPriority w:val="0"/>
    <w:pPr>
      <w:spacing w:line="560" w:lineRule="exact"/>
      <w:jc w:val="center"/>
    </w:pPr>
    <w:rPr>
      <w:rFonts w:ascii="宋体" w:hAnsi="宋体" w:cs="宋体"/>
      <w:szCs w:val="21"/>
    </w:rPr>
  </w:style>
  <w:style w:type="paragraph" w:customStyle="1" w:styleId="9">
    <w:name w:val="一、"/>
    <w:basedOn w:val="1"/>
    <w:uiPriority w:val="0"/>
    <w:pPr>
      <w:spacing w:line="560" w:lineRule="exact"/>
      <w:ind w:firstLine="420" w:firstLineChars="200"/>
    </w:pPr>
    <w:rPr>
      <w:rFonts w:ascii="黑体" w:hAnsi="黑体" w:eastAsia="黑体" w:cs="黑体"/>
      <w:sz w:val="32"/>
      <w:szCs w:val="32"/>
    </w:rPr>
  </w:style>
  <w:style w:type="paragraph" w:customStyle="1" w:styleId="10">
    <w:name w:val="落款"/>
    <w:basedOn w:val="1"/>
    <w:qFormat/>
    <w:uiPriority w:val="0"/>
    <w:pPr>
      <w:spacing w:line="560" w:lineRule="exact"/>
      <w:ind w:right="630" w:rightChars="300"/>
      <w:jc w:val="right"/>
    </w:pPr>
    <w:rPr>
      <w:rFonts w:ascii="仿宋_GB2312" w:hAnsi="仿宋_GB2312" w:eastAsia="仿宋_GB2312" w:cs="仿宋_GB2312"/>
      <w:sz w:val="32"/>
      <w:szCs w:val="32"/>
    </w:rPr>
  </w:style>
  <w:style w:type="paragraph" w:customStyle="1" w:styleId="11">
    <w:name w:val="附/附件"/>
    <w:basedOn w:val="1"/>
    <w:qFormat/>
    <w:uiPriority w:val="0"/>
    <w:pPr>
      <w:spacing w:line="560" w:lineRule="exact"/>
      <w:jc w:val="left"/>
    </w:pPr>
    <w:rPr>
      <w:rFonts w:ascii="黑体" w:hAnsi="黑体" w:eastAsia="黑体" w:cs="黑体"/>
      <w:sz w:val="32"/>
      <w:szCs w:val="32"/>
    </w:rPr>
  </w:style>
  <w:style w:type="paragraph" w:customStyle="1" w:styleId="12">
    <w:name w:val="正文字体"/>
    <w:basedOn w:val="1"/>
    <w:qFormat/>
    <w:uiPriority w:val="0"/>
    <w:pPr>
      <w:spacing w:line="560" w:lineRule="exact"/>
      <w:ind w:firstLine="640" w:firstLineChars="200"/>
    </w:pPr>
    <w:rPr>
      <w:rFonts w:ascii="仿宋_GB2312" w:hAnsi="仿宋_GB2312" w:eastAsia="仿宋_GB2312" w:cs="仿宋_GB2312"/>
      <w:sz w:val="32"/>
      <w:szCs w:val="32"/>
    </w:rPr>
  </w:style>
  <w:style w:type="paragraph" w:customStyle="1" w:styleId="13">
    <w:name w:val="章"/>
    <w:basedOn w:val="1"/>
    <w:qFormat/>
    <w:uiPriority w:val="0"/>
    <w:pPr>
      <w:spacing w:line="560" w:lineRule="exact"/>
      <w:jc w:val="center"/>
    </w:pPr>
    <w:rPr>
      <w:rFonts w:ascii="黑体" w:hAnsi="黑体" w:eastAsia="黑体" w:cs="黑体"/>
      <w:sz w:val="32"/>
      <w:szCs w:val="32"/>
    </w:rPr>
  </w:style>
  <w:style w:type="paragraph" w:customStyle="1" w:styleId="14">
    <w:name w:val="（一）"/>
    <w:basedOn w:val="1"/>
    <w:uiPriority w:val="0"/>
    <w:pPr>
      <w:spacing w:line="560" w:lineRule="exact"/>
      <w:ind w:firstLine="420" w:firstLineChars="200"/>
    </w:pPr>
    <w:rPr>
      <w:rFonts w:ascii="楷体_GB2312" w:hAnsi="楷体_GB2312" w:eastAsia="楷体_GB2312" w:cs="楷体_GB2312"/>
      <w:sz w:val="32"/>
      <w:szCs w:val="32"/>
    </w:rPr>
  </w:style>
  <w:style w:type="paragraph" w:customStyle="1" w:styleId="15">
    <w:name w:val="表字"/>
    <w:basedOn w:val="1"/>
    <w:uiPriority w:val="0"/>
    <w:pPr>
      <w:spacing w:line="560" w:lineRule="exact"/>
      <w:jc w:val="left"/>
    </w:pPr>
    <w:rPr>
      <w:rFonts w:ascii="宋体" w:hAnsi="宋体" w:cs="宋体"/>
      <w:szCs w:val="21"/>
    </w:rPr>
  </w:style>
  <w:style w:type="paragraph" w:customStyle="1" w:styleId="16">
    <w:name w:val="修改废止公布内容"/>
    <w:basedOn w:val="1"/>
    <w:qFormat/>
    <w:uiPriority w:val="0"/>
    <w:pPr>
      <w:spacing w:line="560" w:lineRule="exact"/>
      <w:jc w:val="center"/>
    </w:pPr>
    <w:rPr>
      <w:rFonts w:ascii="楷体_GB2312" w:hAnsi="楷体_GB2312" w:eastAsia="楷体_GB2312" w:cs="楷体_GB2312"/>
      <w:sz w:val="32"/>
      <w:szCs w:val="32"/>
    </w:rPr>
  </w:style>
  <w:style w:type="paragraph" w:customStyle="1" w:styleId="17">
    <w:name w:val="正式公布内容"/>
    <w:basedOn w:val="1"/>
    <w:qFormat/>
    <w:uiPriority w:val="0"/>
    <w:pPr>
      <w:spacing w:line="560" w:lineRule="exact"/>
      <w:ind w:left="630" w:leftChars="300" w:right="630" w:rightChars="300" w:firstLine="0" w:firstLineChars="0"/>
    </w:pPr>
    <w:rPr>
      <w:rFonts w:ascii="楷体_GB2312" w:hAnsi="楷体_GB2312" w:eastAsia="楷体_GB2312" w:cs="楷体_GB2312"/>
      <w:sz w:val="32"/>
      <w:szCs w:val="32"/>
    </w:rPr>
  </w:style>
  <w:style w:type="paragraph" w:customStyle="1" w:styleId="18">
    <w:name w:val="目录内容"/>
    <w:basedOn w:val="1"/>
    <w:qFormat/>
    <w:uiPriority w:val="0"/>
    <w:pPr>
      <w:spacing w:line="560" w:lineRule="exact"/>
      <w:jc w:val="left"/>
    </w:pPr>
    <w:rPr>
      <w:rFonts w:ascii="楷体_GB2312" w:hAnsi="楷体_GB2312" w:eastAsia="楷体_GB2312" w:cs="楷体_GB2312"/>
      <w:sz w:val="32"/>
      <w:szCs w:val="32"/>
    </w:rPr>
  </w:style>
  <w:style w:type="paragraph" w:customStyle="1" w:styleId="19">
    <w:name w:val="文号居中"/>
    <w:basedOn w:val="1"/>
    <w:qFormat/>
    <w:uiPriority w:val="0"/>
    <w:pPr>
      <w:spacing w:line="560" w:lineRule="exact"/>
      <w:jc w:val="center"/>
    </w:pPr>
    <w:rPr>
      <w:rFonts w:ascii="楷体_GB2312" w:hAnsi="楷体_GB2312" w:eastAsia="楷体_GB2312" w:cs="楷体_GB2312"/>
      <w:sz w:val="32"/>
      <w:szCs w:val="32"/>
    </w:rPr>
  </w:style>
  <w:style w:type="paragraph" w:customStyle="1" w:styleId="20">
    <w:name w:val="节"/>
    <w:basedOn w:val="1"/>
    <w:qFormat/>
    <w:uiPriority w:val="0"/>
    <w:pPr>
      <w:spacing w:line="560" w:lineRule="exact"/>
      <w:jc w:val="center"/>
    </w:pPr>
    <w:rPr>
      <w:rFonts w:ascii="宋体" w:hAnsi="宋体" w:cs="宋体"/>
      <w:sz w:val="32"/>
      <w:szCs w:val="32"/>
    </w:rPr>
  </w:style>
  <w:style w:type="paragraph" w:customStyle="1" w:styleId="21">
    <w:name w:val="抬头"/>
    <w:basedOn w:val="12"/>
    <w:qFormat/>
    <w:uiPriority w:val="0"/>
    <w:pPr>
      <w:ind w:firstLine="0" w:firstLineChars="0"/>
      <w:jc w:val="left"/>
    </w:pPr>
  </w:style>
  <w:style w:type="paragraph" w:customStyle="1" w:styleId="22">
    <w:name w:val="日期文号"/>
    <w:basedOn w:val="12"/>
    <w:qFormat/>
    <w:uiPriority w:val="0"/>
    <w:pPr>
      <w:ind w:right="1260" w:rightChars="600" w:firstLine="0" w:firstLineChars="0"/>
      <w:jc w:val="right"/>
    </w:pPr>
    <w:rPr>
      <w:rFonts w:ascii="楷体_GB2312" w:hAnsi="楷体_GB2312" w:eastAsia="楷体_GB2312" w:cs="楷体_GB2312"/>
    </w:rPr>
  </w:style>
  <w:style w:type="paragraph" w:customStyle="1" w:styleId="23">
    <w:name w:val="附件1"/>
    <w:basedOn w:val="1"/>
    <w:qFormat/>
    <w:uiPriority w:val="0"/>
    <w:pPr>
      <w:spacing w:line="560" w:lineRule="exact"/>
      <w:jc w:val="left"/>
    </w:pPr>
    <w:rPr>
      <w:rFonts w:ascii="仿宋_GB2312" w:hAnsi="仿宋_GB2312" w:eastAsia="仿宋_GB2312" w:cs="仿宋_GB2312"/>
      <w:sz w:val="32"/>
      <w:szCs w:val="32"/>
    </w:rPr>
  </w:style>
  <w:style w:type="paragraph" w:customStyle="1" w:styleId="24">
    <w:name w:val="表头"/>
    <w:basedOn w:val="1"/>
    <w:qFormat/>
    <w:uiPriority w:val="0"/>
    <w:pPr>
      <w:spacing w:line="560" w:lineRule="exact"/>
      <w:jc w:val="center"/>
    </w:pPr>
    <w:rPr>
      <w:rFonts w:ascii="黑体" w:hAnsi="黑体" w:eastAsia="黑体" w:cs="黑体"/>
      <w:sz w:val="21"/>
      <w:szCs w:val="21"/>
    </w:rPr>
  </w:style>
  <w:style w:type="character" w:customStyle="1" w:styleId="25">
    <w:name w:val="条文"/>
    <w:basedOn w:val="4"/>
    <w:qFormat/>
    <w:uiPriority w:val="0"/>
    <w:rPr>
      <w:rFonts w:ascii="黑体" w:hAnsi="黑体" w:eastAsia="黑体" w:cs="黑体"/>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office6\templates\wps\zh_CN\&#27169;&#26495;.dotx"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模板.dotx</Template>
  <Pages>1</Pages>
  <Words>0</Words>
  <Characters>0</Characters>
  <Lines>0</Lines>
  <Paragraphs>0</Paragraphs>
  <ScaleCrop>false</ScaleCrop>
  <LinksUpToDate>false</LinksUpToDate>
  <CharactersWithSpaces>0</CharactersWithSpaces>
  <Application>WPS Office_10.1.0.6930_F1E327BC-269C-435d-A152-05C5408002CA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2017-10-30T14:11:00Z</dcterms:created>
  <dc:creator>Administrator</dc:creator>
  <cp:lastModifiedBy>Administrator</cp:lastModifiedBy>
  <dcterms:modified xsi:type="dcterms:W3CDTF">2017-10-31T12:33:21Z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2052-10.1.0.6930</vt:lpwstr>
  </property>
</Properties>
</file>